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1176" w14:textId="09290381" w:rsidR="00A73A85" w:rsidRDefault="00DE6D12" w:rsidP="00A73A85">
      <w:pPr>
        <w:pStyle w:val="01BSCCParagraphbodystyle"/>
        <w:spacing w:after="0"/>
        <w:rPr>
          <w:rFonts w:cs="Arial"/>
          <w:b/>
          <w:sz w:val="28"/>
          <w:szCs w:val="28"/>
        </w:rPr>
      </w:pPr>
      <w:r>
        <w:rPr>
          <w:rFonts w:cs="Arial"/>
          <w:b/>
          <w:sz w:val="28"/>
          <w:szCs w:val="28"/>
        </w:rPr>
        <w:t>Service Director – Public Health (</w:t>
      </w:r>
      <w:r w:rsidR="00BD4D8B">
        <w:rPr>
          <w:rFonts w:cs="Arial"/>
          <w:b/>
          <w:sz w:val="28"/>
          <w:szCs w:val="28"/>
        </w:rPr>
        <w:t>Director of Public Health</w:t>
      </w:r>
      <w:r>
        <w:rPr>
          <w:rFonts w:cs="Arial"/>
          <w:b/>
          <w:sz w:val="28"/>
          <w:szCs w:val="28"/>
        </w:rPr>
        <w:t>)</w:t>
      </w:r>
      <w:r w:rsidR="00BD4D8B">
        <w:rPr>
          <w:rFonts w:cs="Arial"/>
          <w:b/>
          <w:sz w:val="28"/>
          <w:szCs w:val="28"/>
        </w:rPr>
        <w:t xml:space="preserve"> – Cornwall Council  </w:t>
      </w:r>
    </w:p>
    <w:p w14:paraId="5EF2A9B7" w14:textId="77777777" w:rsidR="00A73A85" w:rsidRPr="00EA4D32" w:rsidRDefault="00A73A85" w:rsidP="00A73A85">
      <w:pPr>
        <w:pStyle w:val="01BSCCParagraphbodystyle"/>
        <w:spacing w:after="0"/>
        <w:rPr>
          <w:rFonts w:cs="Arial"/>
          <w:b/>
          <w:szCs w:val="22"/>
        </w:rPr>
      </w:pPr>
    </w:p>
    <w:p w14:paraId="1E65C71F" w14:textId="4A60BDE7" w:rsidR="00A73A85" w:rsidRPr="00EA4D32" w:rsidRDefault="00423462" w:rsidP="00A73A85">
      <w:pPr>
        <w:pStyle w:val="01BSCCParagraphbodystyle"/>
        <w:spacing w:after="0"/>
        <w:rPr>
          <w:rFonts w:cs="Arial"/>
          <w:i/>
          <w:szCs w:val="22"/>
        </w:rPr>
      </w:pPr>
      <w:r>
        <w:rPr>
          <w:rFonts w:cs="Arial"/>
          <w:i/>
          <w:szCs w:val="22"/>
        </w:rPr>
        <w:t>Based on the model job description and person specification from the Faculty of Public Health, w</w:t>
      </w:r>
      <w:r w:rsidR="00A73A85" w:rsidRPr="00EA4D32">
        <w:rPr>
          <w:rFonts w:cs="Arial"/>
          <w:i/>
          <w:szCs w:val="22"/>
        </w:rPr>
        <w:t>e use the following criteria below to assess your suitability</w:t>
      </w:r>
      <w:r w:rsidR="00A73A85">
        <w:rPr>
          <w:rFonts w:cs="Arial"/>
          <w:i/>
          <w:szCs w:val="22"/>
        </w:rPr>
        <w:t xml:space="preserve"> for the role</w:t>
      </w:r>
      <w:r>
        <w:rPr>
          <w:rFonts w:cs="Arial"/>
          <w:i/>
          <w:szCs w:val="22"/>
        </w:rPr>
        <w:t xml:space="preserve">. </w:t>
      </w:r>
      <w:r w:rsidR="00A73A85">
        <w:rPr>
          <w:rFonts w:cs="Arial"/>
          <w:i/>
          <w:szCs w:val="22"/>
        </w:rPr>
        <w:t>Requirements assessed at the ‘Application’ stage represent the minimum essential requirement for shortlisting purposes</w:t>
      </w:r>
    </w:p>
    <w:p w14:paraId="734411CD" w14:textId="576CA531" w:rsidR="00BD4D8B" w:rsidRPr="00CC550B" w:rsidRDefault="00BD4D8B" w:rsidP="00BD4D8B">
      <w:pP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4A0" w:firstRow="1" w:lastRow="0" w:firstColumn="1" w:lastColumn="0" w:noHBand="0" w:noVBand="1"/>
      </w:tblPr>
      <w:tblGrid>
        <w:gridCol w:w="7763"/>
        <w:gridCol w:w="1876"/>
      </w:tblGrid>
      <w:tr w:rsidR="00BD4D8B" w:rsidRPr="00CC550B" w14:paraId="69FD8892" w14:textId="77777777" w:rsidTr="00D41B90">
        <w:tc>
          <w:tcPr>
            <w:tcW w:w="7763" w:type="dxa"/>
            <w:shd w:val="clear" w:color="auto" w:fill="B4C6E7"/>
            <w:vAlign w:val="center"/>
          </w:tcPr>
          <w:p w14:paraId="156BDC16" w14:textId="77777777" w:rsidR="00BD4D8B" w:rsidRPr="00CC550B" w:rsidRDefault="00BD4D8B" w:rsidP="002A043D">
            <w:pPr>
              <w:rPr>
                <w:rFonts w:eastAsia="Calibri"/>
                <w:b/>
              </w:rPr>
            </w:pPr>
            <w:r w:rsidRPr="00CC550B">
              <w:rPr>
                <w:rFonts w:eastAsia="Calibri"/>
                <w:b/>
              </w:rPr>
              <w:t>Behaviours</w:t>
            </w:r>
          </w:p>
        </w:tc>
        <w:tc>
          <w:tcPr>
            <w:tcW w:w="1876" w:type="dxa"/>
            <w:shd w:val="clear" w:color="auto" w:fill="B4C6E7"/>
            <w:vAlign w:val="center"/>
          </w:tcPr>
          <w:p w14:paraId="65E70025" w14:textId="77777777" w:rsidR="00BD4D8B" w:rsidRPr="00CC550B" w:rsidRDefault="00BD4D8B" w:rsidP="002A043D">
            <w:pPr>
              <w:rPr>
                <w:rFonts w:eastAsia="Calibri"/>
                <w:b/>
              </w:rPr>
            </w:pPr>
            <w:r w:rsidRPr="00CC550B">
              <w:rPr>
                <w:rFonts w:eastAsia="Calibri"/>
                <w:b/>
              </w:rPr>
              <w:t>Recruitment and selection</w:t>
            </w:r>
          </w:p>
        </w:tc>
      </w:tr>
      <w:tr w:rsidR="00BD4D8B" w:rsidRPr="00DE6D12" w14:paraId="7CDEFFA7" w14:textId="77777777" w:rsidTr="00D41B90">
        <w:tc>
          <w:tcPr>
            <w:tcW w:w="7763" w:type="dxa"/>
            <w:shd w:val="clear" w:color="auto" w:fill="auto"/>
          </w:tcPr>
          <w:p w14:paraId="3E6D2FEB" w14:textId="77777777" w:rsidR="00BD4D8B" w:rsidRPr="00DE6D12" w:rsidRDefault="00BD4D8B" w:rsidP="002A043D">
            <w:pPr>
              <w:rPr>
                <w:rFonts w:ascii="Verdana" w:eastAsia="Calibri" w:hAnsi="Verdana"/>
                <w:b/>
                <w:sz w:val="20"/>
              </w:rPr>
            </w:pPr>
            <w:r w:rsidRPr="00DE6D12">
              <w:rPr>
                <w:rFonts w:ascii="Verdana" w:eastAsia="Calibri" w:hAnsi="Verdana"/>
                <w:b/>
                <w:sz w:val="20"/>
              </w:rPr>
              <w:t>Leadership</w:t>
            </w:r>
          </w:p>
          <w:p w14:paraId="02805A83" w14:textId="77777777" w:rsidR="002B73FB" w:rsidRPr="00DE6D12" w:rsidRDefault="002B73FB" w:rsidP="002B73FB">
            <w:pPr>
              <w:pStyle w:val="ListParagraph"/>
              <w:numPr>
                <w:ilvl w:val="0"/>
                <w:numId w:val="8"/>
              </w:numPr>
              <w:rPr>
                <w:rFonts w:ascii="Verdana" w:eastAsia="Calibri" w:hAnsi="Verdana"/>
                <w:sz w:val="20"/>
                <w:szCs w:val="20"/>
              </w:rPr>
            </w:pPr>
            <w:r w:rsidRPr="00DE6D12">
              <w:rPr>
                <w:rFonts w:ascii="Verdana" w:eastAsia="Calibri" w:hAnsi="Verdana"/>
                <w:sz w:val="20"/>
                <w:szCs w:val="20"/>
              </w:rPr>
              <w:t xml:space="preserve">Establishing and promoting a clear public health vision which is coherent with the business strategy and vision for the authority; Government policy and takes account of social and economic trends. </w:t>
            </w:r>
          </w:p>
          <w:p w14:paraId="6EBE557E" w14:textId="77777777" w:rsidR="006A3F03" w:rsidRDefault="002B73FB" w:rsidP="006A3F03">
            <w:pPr>
              <w:pStyle w:val="ListParagraph"/>
              <w:numPr>
                <w:ilvl w:val="0"/>
                <w:numId w:val="8"/>
              </w:numPr>
              <w:rPr>
                <w:rFonts w:ascii="Verdana" w:eastAsia="Calibri" w:hAnsi="Verdana"/>
                <w:sz w:val="20"/>
                <w:szCs w:val="20"/>
              </w:rPr>
            </w:pPr>
            <w:r w:rsidRPr="00DE6D12">
              <w:rPr>
                <w:rFonts w:ascii="Verdana" w:eastAsia="Calibri" w:hAnsi="Verdana"/>
                <w:sz w:val="20"/>
                <w:szCs w:val="20"/>
              </w:rPr>
              <w:t>Role modelling through their own actions the types of behaviours expected of others in creating a high performing public health culture</w:t>
            </w:r>
          </w:p>
          <w:p w14:paraId="1EF796E9" w14:textId="77777777" w:rsidR="006A3F03" w:rsidRPr="006A3F03" w:rsidRDefault="00BD4D8B" w:rsidP="006A3F03">
            <w:pPr>
              <w:pStyle w:val="ListParagraph"/>
              <w:numPr>
                <w:ilvl w:val="0"/>
                <w:numId w:val="8"/>
              </w:numPr>
              <w:rPr>
                <w:rFonts w:ascii="Verdana" w:eastAsia="Calibri" w:hAnsi="Verdana"/>
                <w:sz w:val="20"/>
                <w:szCs w:val="20"/>
              </w:rPr>
            </w:pPr>
            <w:r w:rsidRPr="006A3F03">
              <w:rPr>
                <w:rFonts w:ascii="Verdana" w:eastAsia="Calibri" w:hAnsi="Verdana"/>
                <w:sz w:val="20"/>
              </w:rPr>
              <w:t>Developing an effective PH team with appropriate skill mix to enable the Authority to deliver its full range of PH responsibilities.</w:t>
            </w:r>
          </w:p>
          <w:p w14:paraId="6E294C66" w14:textId="77777777" w:rsidR="006A3F03" w:rsidRPr="006A3F03" w:rsidRDefault="00BD4D8B" w:rsidP="006A3F03">
            <w:pPr>
              <w:pStyle w:val="ListParagraph"/>
              <w:numPr>
                <w:ilvl w:val="0"/>
                <w:numId w:val="8"/>
              </w:numPr>
              <w:rPr>
                <w:rFonts w:ascii="Verdana" w:eastAsia="Calibri" w:hAnsi="Verdana"/>
                <w:sz w:val="20"/>
                <w:szCs w:val="20"/>
              </w:rPr>
            </w:pPr>
            <w:r w:rsidRPr="006A3F03">
              <w:rPr>
                <w:rFonts w:ascii="Verdana" w:eastAsia="Calibri" w:hAnsi="Verdana"/>
                <w:sz w:val="20"/>
              </w:rPr>
              <w:t>Developing effective relationships with elected members to ensure a coherent PH vision and operational plan.</w:t>
            </w:r>
          </w:p>
          <w:p w14:paraId="66126A2F" w14:textId="77777777" w:rsidR="006A3F03" w:rsidRPr="006A3F03" w:rsidRDefault="00BD4D8B" w:rsidP="006A3F03">
            <w:pPr>
              <w:pStyle w:val="ListParagraph"/>
              <w:numPr>
                <w:ilvl w:val="0"/>
                <w:numId w:val="8"/>
              </w:numPr>
              <w:rPr>
                <w:rFonts w:ascii="Verdana" w:eastAsia="Calibri" w:hAnsi="Verdana"/>
                <w:sz w:val="20"/>
                <w:szCs w:val="20"/>
              </w:rPr>
            </w:pPr>
            <w:r w:rsidRPr="006A3F03">
              <w:rPr>
                <w:rFonts w:ascii="Verdana" w:eastAsia="Calibri" w:hAnsi="Verdana"/>
                <w:sz w:val="20"/>
              </w:rPr>
              <w:t>Work with fellow directors to enable/ensure public health perspective/principles underpin all aspects of LA delivery.</w:t>
            </w:r>
          </w:p>
          <w:p w14:paraId="43221234" w14:textId="77777777" w:rsidR="006A3F03" w:rsidRPr="006A3F03" w:rsidRDefault="00BD4D8B" w:rsidP="006A3F03">
            <w:pPr>
              <w:pStyle w:val="ListParagraph"/>
              <w:numPr>
                <w:ilvl w:val="0"/>
                <w:numId w:val="8"/>
              </w:numPr>
              <w:rPr>
                <w:rFonts w:ascii="Verdana" w:eastAsia="Calibri" w:hAnsi="Verdana"/>
                <w:sz w:val="20"/>
                <w:szCs w:val="20"/>
              </w:rPr>
            </w:pPr>
            <w:r w:rsidRPr="006A3F03">
              <w:rPr>
                <w:rFonts w:ascii="Verdana" w:eastAsia="Calibri" w:hAnsi="Verdana"/>
                <w:sz w:val="20"/>
              </w:rPr>
              <w:t xml:space="preserve">Work with communities and media to ensure needs of local communities are made explicit and addressed by the </w:t>
            </w:r>
            <w:r w:rsidR="00D00341" w:rsidRPr="006A3F03">
              <w:rPr>
                <w:rFonts w:ascii="Verdana" w:eastAsia="Calibri" w:hAnsi="Verdana"/>
                <w:sz w:val="20"/>
              </w:rPr>
              <w:t xml:space="preserve">Health </w:t>
            </w:r>
            <w:r w:rsidRPr="006A3F03">
              <w:rPr>
                <w:rFonts w:ascii="Verdana" w:eastAsia="Calibri" w:hAnsi="Verdana"/>
                <w:sz w:val="20"/>
              </w:rPr>
              <w:t>&amp;</w:t>
            </w:r>
            <w:r w:rsidR="00D00341" w:rsidRPr="006A3F03">
              <w:rPr>
                <w:rFonts w:ascii="Verdana" w:eastAsia="Calibri" w:hAnsi="Verdana"/>
                <w:sz w:val="20"/>
              </w:rPr>
              <w:t xml:space="preserve"> </w:t>
            </w:r>
            <w:r w:rsidRPr="006A3F03">
              <w:rPr>
                <w:rFonts w:ascii="Verdana" w:eastAsia="Calibri" w:hAnsi="Verdana"/>
                <w:sz w:val="20"/>
              </w:rPr>
              <w:t>W</w:t>
            </w:r>
            <w:r w:rsidR="00D00341" w:rsidRPr="006A3F03">
              <w:rPr>
                <w:rFonts w:ascii="Verdana" w:eastAsia="Calibri" w:hAnsi="Verdana"/>
                <w:sz w:val="20"/>
              </w:rPr>
              <w:t xml:space="preserve">ellbeing </w:t>
            </w:r>
            <w:r w:rsidRPr="006A3F03">
              <w:rPr>
                <w:rFonts w:ascii="Verdana" w:eastAsia="Calibri" w:hAnsi="Verdana"/>
                <w:sz w:val="20"/>
              </w:rPr>
              <w:t>B</w:t>
            </w:r>
            <w:r w:rsidR="00D00341" w:rsidRPr="006A3F03">
              <w:rPr>
                <w:rFonts w:ascii="Verdana" w:eastAsia="Calibri" w:hAnsi="Verdana"/>
                <w:sz w:val="20"/>
              </w:rPr>
              <w:t>oard</w:t>
            </w:r>
            <w:r w:rsidRPr="006A3F03">
              <w:rPr>
                <w:rFonts w:ascii="Verdana" w:eastAsia="Calibri" w:hAnsi="Verdana"/>
                <w:sz w:val="20"/>
              </w:rPr>
              <w:t>.</w:t>
            </w:r>
          </w:p>
          <w:p w14:paraId="071E2B4D" w14:textId="46EE683F" w:rsidR="00BD4D8B" w:rsidRPr="006A3F03" w:rsidRDefault="00BD4D8B" w:rsidP="006A3F03">
            <w:pPr>
              <w:pStyle w:val="ListParagraph"/>
              <w:numPr>
                <w:ilvl w:val="0"/>
                <w:numId w:val="8"/>
              </w:numPr>
              <w:rPr>
                <w:rFonts w:ascii="Verdana" w:eastAsia="Calibri" w:hAnsi="Verdana"/>
                <w:sz w:val="20"/>
                <w:szCs w:val="20"/>
              </w:rPr>
            </w:pPr>
            <w:r w:rsidRPr="006A3F03">
              <w:rPr>
                <w:rFonts w:ascii="Verdana" w:eastAsia="Calibri" w:hAnsi="Verdana"/>
                <w:sz w:val="20"/>
              </w:rPr>
              <w:t>Deliver the independent report of the DPH in such a way as to compel all members of the H</w:t>
            </w:r>
            <w:r w:rsidR="00D00341" w:rsidRPr="006A3F03">
              <w:rPr>
                <w:rFonts w:ascii="Verdana" w:eastAsia="Calibri" w:hAnsi="Verdana"/>
                <w:sz w:val="20"/>
              </w:rPr>
              <w:t xml:space="preserve">ealth </w:t>
            </w:r>
            <w:r w:rsidRPr="006A3F03">
              <w:rPr>
                <w:rFonts w:ascii="Verdana" w:eastAsia="Calibri" w:hAnsi="Verdana"/>
                <w:sz w:val="20"/>
              </w:rPr>
              <w:t>&amp;</w:t>
            </w:r>
            <w:r w:rsidR="00D00341" w:rsidRPr="006A3F03">
              <w:rPr>
                <w:rFonts w:ascii="Verdana" w:eastAsia="Calibri" w:hAnsi="Verdana"/>
                <w:sz w:val="20"/>
              </w:rPr>
              <w:t xml:space="preserve"> </w:t>
            </w:r>
            <w:r w:rsidRPr="006A3F03">
              <w:rPr>
                <w:rFonts w:ascii="Verdana" w:eastAsia="Calibri" w:hAnsi="Verdana"/>
                <w:sz w:val="20"/>
              </w:rPr>
              <w:t>W</w:t>
            </w:r>
            <w:r w:rsidR="00D00341" w:rsidRPr="006A3F03">
              <w:rPr>
                <w:rFonts w:ascii="Verdana" w:eastAsia="Calibri" w:hAnsi="Verdana"/>
                <w:sz w:val="20"/>
              </w:rPr>
              <w:t xml:space="preserve">ellbeing </w:t>
            </w:r>
            <w:r w:rsidRPr="006A3F03">
              <w:rPr>
                <w:rFonts w:ascii="Verdana" w:eastAsia="Calibri" w:hAnsi="Verdana"/>
                <w:sz w:val="20"/>
              </w:rPr>
              <w:t>B</w:t>
            </w:r>
            <w:r w:rsidR="00D00341" w:rsidRPr="006A3F03">
              <w:rPr>
                <w:rFonts w:ascii="Verdana" w:eastAsia="Calibri" w:hAnsi="Verdana"/>
                <w:sz w:val="20"/>
              </w:rPr>
              <w:t>oard</w:t>
            </w:r>
            <w:r w:rsidRPr="006A3F03">
              <w:rPr>
                <w:rFonts w:ascii="Verdana" w:eastAsia="Calibri" w:hAnsi="Verdana"/>
                <w:sz w:val="20"/>
              </w:rPr>
              <w:t xml:space="preserve"> to </w:t>
            </w:r>
            <w:proofErr w:type="gramStart"/>
            <w:r w:rsidRPr="006A3F03">
              <w:rPr>
                <w:rFonts w:ascii="Verdana" w:eastAsia="Calibri" w:hAnsi="Verdana"/>
                <w:sz w:val="20"/>
              </w:rPr>
              <w:t>take action</w:t>
            </w:r>
            <w:proofErr w:type="gramEnd"/>
            <w:r w:rsidRPr="006A3F03">
              <w:rPr>
                <w:rFonts w:ascii="Verdana" w:eastAsia="Calibri" w:hAnsi="Verdana"/>
                <w:sz w:val="20"/>
              </w:rPr>
              <w:t>.</w:t>
            </w:r>
          </w:p>
        </w:tc>
        <w:tc>
          <w:tcPr>
            <w:tcW w:w="1876" w:type="dxa"/>
            <w:shd w:val="clear" w:color="auto" w:fill="auto"/>
          </w:tcPr>
          <w:p w14:paraId="2B6FD8DA" w14:textId="3FB15C8A" w:rsidR="00BD4D8B" w:rsidRPr="00DE6D12" w:rsidRDefault="007B0564" w:rsidP="002A043D">
            <w:pPr>
              <w:rPr>
                <w:rFonts w:ascii="Verdana" w:eastAsia="Calibri" w:hAnsi="Verdana"/>
                <w:sz w:val="20"/>
              </w:rPr>
            </w:pPr>
            <w:r w:rsidRPr="00DE6D12">
              <w:rPr>
                <w:rFonts w:ascii="Verdana" w:eastAsia="Calibri" w:hAnsi="Verdana"/>
                <w:sz w:val="20"/>
              </w:rPr>
              <w:t xml:space="preserve">Application </w:t>
            </w:r>
            <w:r w:rsidR="00BD4D8B" w:rsidRPr="00DE6D12">
              <w:rPr>
                <w:rFonts w:ascii="Verdana" w:eastAsia="Calibri" w:hAnsi="Verdana"/>
                <w:sz w:val="20"/>
              </w:rPr>
              <w:t>and Interview</w:t>
            </w:r>
          </w:p>
        </w:tc>
      </w:tr>
      <w:tr w:rsidR="00BD4D8B" w:rsidRPr="00DE6D12" w14:paraId="667CDBA1" w14:textId="77777777" w:rsidTr="00D41B90">
        <w:tc>
          <w:tcPr>
            <w:tcW w:w="7763" w:type="dxa"/>
            <w:shd w:val="clear" w:color="auto" w:fill="auto"/>
          </w:tcPr>
          <w:p w14:paraId="00A7DAF6" w14:textId="2E9A84DE" w:rsidR="00D00341" w:rsidRPr="00DE6D12" w:rsidRDefault="00BD4D8B" w:rsidP="002B73FB">
            <w:pPr>
              <w:rPr>
                <w:rFonts w:ascii="Verdana" w:eastAsia="Calibri" w:hAnsi="Verdana"/>
                <w:b/>
                <w:sz w:val="20"/>
              </w:rPr>
            </w:pPr>
            <w:r w:rsidRPr="00DE6D12">
              <w:rPr>
                <w:rFonts w:ascii="Verdana" w:eastAsia="Calibri" w:hAnsi="Verdana"/>
                <w:b/>
                <w:sz w:val="20"/>
              </w:rPr>
              <w:t>Community and population focus</w:t>
            </w:r>
          </w:p>
          <w:p w14:paraId="6A140BBE" w14:textId="7678502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Actively seeking to understand the communities that are served and promoting and demonstrating an active commitment to meet their needs.</w:t>
            </w:r>
          </w:p>
          <w:p w14:paraId="1E135DDA"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Setting new standards for innovation in commissioning and delivery of services that anticipate and exceed expectations.</w:t>
            </w:r>
          </w:p>
          <w:p w14:paraId="68044843"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Engaging with a wide range of stakeholders and partners to gather and evaluate information and make collaborative judgements and decisions.</w:t>
            </w:r>
          </w:p>
          <w:p w14:paraId="07552AE7" w14:textId="1C42D634"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 xml:space="preserve">Making timely and where needed, difficult decisions for the benefit of the people of </w:t>
            </w:r>
            <w:r w:rsidR="002D65EA" w:rsidRPr="00DE6D12">
              <w:rPr>
                <w:rFonts w:ascii="Verdana" w:hAnsi="Verdana" w:cs="Arial"/>
                <w:sz w:val="20"/>
              </w:rPr>
              <w:t>Cornwall</w:t>
            </w:r>
            <w:r w:rsidRPr="00DE6D12">
              <w:rPr>
                <w:rFonts w:ascii="Verdana" w:hAnsi="Verdana" w:cs="Arial"/>
                <w:sz w:val="20"/>
              </w:rPr>
              <w:t xml:space="preserve"> </w:t>
            </w:r>
          </w:p>
        </w:tc>
        <w:tc>
          <w:tcPr>
            <w:tcW w:w="1876" w:type="dxa"/>
            <w:shd w:val="clear" w:color="auto" w:fill="auto"/>
          </w:tcPr>
          <w:p w14:paraId="695B9D5B" w14:textId="7C62172A" w:rsidR="00BD4D8B" w:rsidRPr="00DE6D12" w:rsidRDefault="00BD4D8B" w:rsidP="002A043D">
            <w:pPr>
              <w:rPr>
                <w:rFonts w:ascii="Verdana" w:eastAsia="Calibri" w:hAnsi="Verdana"/>
                <w:sz w:val="20"/>
              </w:rPr>
            </w:pPr>
            <w:r w:rsidRPr="00DE6D12">
              <w:rPr>
                <w:rFonts w:ascii="Verdana" w:eastAsia="Calibri" w:hAnsi="Verdana"/>
                <w:sz w:val="20"/>
              </w:rPr>
              <w:t>Application</w:t>
            </w:r>
            <w:r w:rsidR="002B73FB" w:rsidRPr="00DE6D12">
              <w:rPr>
                <w:rFonts w:ascii="Verdana" w:eastAsia="Calibri" w:hAnsi="Verdana"/>
                <w:sz w:val="20"/>
              </w:rPr>
              <w:t xml:space="preserve"> and </w:t>
            </w:r>
          </w:p>
          <w:p w14:paraId="7AB0AA29" w14:textId="77777777" w:rsidR="00BD4D8B" w:rsidRPr="00DE6D12" w:rsidRDefault="00BD4D8B" w:rsidP="002A043D">
            <w:pPr>
              <w:rPr>
                <w:rFonts w:ascii="Verdana" w:eastAsia="Calibri" w:hAnsi="Verdana"/>
                <w:sz w:val="20"/>
              </w:rPr>
            </w:pPr>
            <w:r w:rsidRPr="00DE6D12">
              <w:rPr>
                <w:rFonts w:ascii="Verdana" w:eastAsia="Calibri" w:hAnsi="Verdana"/>
                <w:sz w:val="20"/>
              </w:rPr>
              <w:t>Interview</w:t>
            </w:r>
          </w:p>
        </w:tc>
      </w:tr>
      <w:tr w:rsidR="00BD4D8B" w:rsidRPr="00DE6D12" w14:paraId="651A361A" w14:textId="77777777" w:rsidTr="00D41B90">
        <w:tc>
          <w:tcPr>
            <w:tcW w:w="7763" w:type="dxa"/>
            <w:shd w:val="clear" w:color="auto" w:fill="auto"/>
          </w:tcPr>
          <w:p w14:paraId="5F02AFB0" w14:textId="77777777" w:rsidR="00BD4D8B" w:rsidRPr="00DE6D12" w:rsidRDefault="00BD4D8B" w:rsidP="002A043D">
            <w:pPr>
              <w:rPr>
                <w:rFonts w:ascii="Verdana" w:eastAsia="Calibri" w:hAnsi="Verdana"/>
                <w:b/>
                <w:sz w:val="20"/>
              </w:rPr>
            </w:pPr>
            <w:r w:rsidRPr="00DE6D12">
              <w:rPr>
                <w:rFonts w:ascii="Verdana" w:eastAsia="Calibri" w:hAnsi="Verdana"/>
                <w:b/>
                <w:sz w:val="20"/>
              </w:rPr>
              <w:t>Results Focus</w:t>
            </w:r>
          </w:p>
          <w:p w14:paraId="246CC74D" w14:textId="77777777" w:rsidR="006A3F03" w:rsidRDefault="005A6A38" w:rsidP="006A3F03">
            <w:pPr>
              <w:pStyle w:val="ListParagraph"/>
              <w:numPr>
                <w:ilvl w:val="0"/>
                <w:numId w:val="10"/>
              </w:numPr>
              <w:rPr>
                <w:rFonts w:ascii="Verdana" w:eastAsia="Calibri" w:hAnsi="Verdana"/>
                <w:sz w:val="20"/>
                <w:szCs w:val="20"/>
              </w:rPr>
            </w:pPr>
            <w:r w:rsidRPr="00DE6D12">
              <w:rPr>
                <w:rFonts w:ascii="Verdana" w:eastAsia="Calibri" w:hAnsi="Verdana"/>
                <w:sz w:val="20"/>
                <w:szCs w:val="20"/>
              </w:rPr>
              <w:t>Working through the ICS to c</w:t>
            </w:r>
            <w:r w:rsidR="00BD4D8B" w:rsidRPr="00DE6D12">
              <w:rPr>
                <w:rFonts w:ascii="Verdana" w:eastAsia="Calibri" w:hAnsi="Verdana"/>
                <w:sz w:val="20"/>
                <w:szCs w:val="20"/>
              </w:rPr>
              <w:t>o-develop a model of health</w:t>
            </w:r>
            <w:r w:rsidRPr="00DE6D12">
              <w:rPr>
                <w:rFonts w:ascii="Verdana" w:eastAsia="Calibri" w:hAnsi="Verdana"/>
                <w:sz w:val="20"/>
                <w:szCs w:val="20"/>
              </w:rPr>
              <w:t xml:space="preserve"> and wellbeing</w:t>
            </w:r>
            <w:r w:rsidR="00BD4D8B" w:rsidRPr="00DE6D12">
              <w:rPr>
                <w:rFonts w:ascii="Verdana" w:eastAsia="Calibri" w:hAnsi="Verdana"/>
                <w:sz w:val="20"/>
                <w:szCs w:val="20"/>
              </w:rPr>
              <w:t xml:space="preserve"> with local stakeholders (including local communities) and the metrics to </w:t>
            </w:r>
            <w:proofErr w:type="gramStart"/>
            <w:r w:rsidR="00BD4D8B" w:rsidRPr="00DE6D12">
              <w:rPr>
                <w:rFonts w:ascii="Verdana" w:eastAsia="Calibri" w:hAnsi="Verdana"/>
                <w:sz w:val="20"/>
                <w:szCs w:val="20"/>
              </w:rPr>
              <w:t>support;</w:t>
            </w:r>
            <w:proofErr w:type="gramEnd"/>
            <w:r w:rsidR="00BD4D8B" w:rsidRPr="00DE6D12">
              <w:rPr>
                <w:rFonts w:ascii="Verdana" w:eastAsia="Calibri" w:hAnsi="Verdana"/>
                <w:sz w:val="20"/>
                <w:szCs w:val="20"/>
              </w:rPr>
              <w:t xml:space="preserve"> taking account of Public Health Outcomes Framework.</w:t>
            </w:r>
          </w:p>
          <w:p w14:paraId="712C758F" w14:textId="77777777" w:rsidR="006A3F03" w:rsidRPr="006A3F03" w:rsidRDefault="00BD4D8B" w:rsidP="006A3F03">
            <w:pPr>
              <w:pStyle w:val="ListParagraph"/>
              <w:numPr>
                <w:ilvl w:val="0"/>
                <w:numId w:val="10"/>
              </w:numPr>
              <w:rPr>
                <w:rFonts w:ascii="Verdana" w:eastAsia="Calibri" w:hAnsi="Verdana"/>
                <w:sz w:val="20"/>
                <w:szCs w:val="20"/>
              </w:rPr>
            </w:pPr>
            <w:r w:rsidRPr="006A3F03">
              <w:rPr>
                <w:rFonts w:ascii="Verdana" w:eastAsia="Calibri" w:hAnsi="Verdana"/>
                <w:sz w:val="20"/>
              </w:rPr>
              <w:t>Ensuring a best practice performance culture is developed and sustained.</w:t>
            </w:r>
          </w:p>
          <w:p w14:paraId="516A3DDD" w14:textId="77777777" w:rsidR="006A3F03" w:rsidRPr="006A3F03" w:rsidRDefault="00BD4D8B" w:rsidP="006A3F03">
            <w:pPr>
              <w:pStyle w:val="ListParagraph"/>
              <w:numPr>
                <w:ilvl w:val="0"/>
                <w:numId w:val="10"/>
              </w:numPr>
              <w:rPr>
                <w:rFonts w:ascii="Verdana" w:eastAsia="Calibri" w:hAnsi="Verdana"/>
                <w:sz w:val="20"/>
                <w:szCs w:val="20"/>
              </w:rPr>
            </w:pPr>
            <w:r w:rsidRPr="006A3F03">
              <w:rPr>
                <w:rFonts w:ascii="Verdana" w:eastAsia="Calibri" w:hAnsi="Verdana"/>
                <w:sz w:val="20"/>
              </w:rPr>
              <w:t>Setting, communicating and monitoring stretching organisational objectives and objectives.</w:t>
            </w:r>
          </w:p>
          <w:p w14:paraId="3108A0B6" w14:textId="77777777" w:rsidR="006A3F03" w:rsidRPr="006A3F03" w:rsidRDefault="00BD4D8B" w:rsidP="006A3F03">
            <w:pPr>
              <w:pStyle w:val="ListParagraph"/>
              <w:numPr>
                <w:ilvl w:val="0"/>
                <w:numId w:val="10"/>
              </w:numPr>
              <w:rPr>
                <w:rFonts w:ascii="Verdana" w:eastAsia="Calibri" w:hAnsi="Verdana"/>
                <w:sz w:val="20"/>
                <w:szCs w:val="20"/>
              </w:rPr>
            </w:pPr>
            <w:r w:rsidRPr="006A3F03">
              <w:rPr>
                <w:rFonts w:ascii="Verdana" w:eastAsia="Calibri" w:hAnsi="Verdana"/>
                <w:sz w:val="20"/>
              </w:rPr>
              <w:t>Pro-actively identifying corporate, directorate and service risks, and ensuring action is taken to mitigate them.</w:t>
            </w:r>
          </w:p>
          <w:p w14:paraId="2AE035ED" w14:textId="1C2E2330" w:rsidR="00BD4D8B" w:rsidRPr="006A3F03" w:rsidRDefault="00BD4D8B" w:rsidP="006A3F03">
            <w:pPr>
              <w:pStyle w:val="ListParagraph"/>
              <w:numPr>
                <w:ilvl w:val="0"/>
                <w:numId w:val="10"/>
              </w:numPr>
              <w:rPr>
                <w:rFonts w:ascii="Verdana" w:eastAsia="Calibri" w:hAnsi="Verdana"/>
                <w:sz w:val="20"/>
                <w:szCs w:val="20"/>
              </w:rPr>
            </w:pPr>
            <w:r w:rsidRPr="006A3F03">
              <w:rPr>
                <w:rFonts w:ascii="Verdana" w:eastAsia="Calibri" w:hAnsi="Verdana"/>
                <w:sz w:val="20"/>
              </w:rPr>
              <w:t>Formulating risk management plans and creating a positive health and safety culture.</w:t>
            </w:r>
          </w:p>
        </w:tc>
        <w:tc>
          <w:tcPr>
            <w:tcW w:w="1876" w:type="dxa"/>
            <w:shd w:val="clear" w:color="auto" w:fill="auto"/>
          </w:tcPr>
          <w:p w14:paraId="76819ABD" w14:textId="77777777" w:rsidR="00BD4D8B" w:rsidRPr="00DE6D12" w:rsidRDefault="00BD4D8B" w:rsidP="002A043D">
            <w:pPr>
              <w:rPr>
                <w:rFonts w:ascii="Verdana" w:eastAsia="Calibri" w:hAnsi="Verdana"/>
                <w:sz w:val="20"/>
              </w:rPr>
            </w:pPr>
            <w:r w:rsidRPr="00DE6D12">
              <w:rPr>
                <w:rFonts w:ascii="Verdana" w:eastAsia="Calibri" w:hAnsi="Verdana"/>
                <w:sz w:val="20"/>
              </w:rPr>
              <w:t>Interview</w:t>
            </w:r>
          </w:p>
        </w:tc>
      </w:tr>
      <w:tr w:rsidR="00BD4D8B" w:rsidRPr="00DE6D12" w14:paraId="723917F9" w14:textId="77777777" w:rsidTr="00D41B90">
        <w:tc>
          <w:tcPr>
            <w:tcW w:w="7763" w:type="dxa"/>
            <w:shd w:val="clear" w:color="auto" w:fill="auto"/>
          </w:tcPr>
          <w:p w14:paraId="399A5D96" w14:textId="77777777" w:rsidR="00BD4D8B" w:rsidRPr="00DE6D12" w:rsidRDefault="00BD4D8B" w:rsidP="002A043D">
            <w:pPr>
              <w:tabs>
                <w:tab w:val="left" w:pos="4211"/>
                <w:tab w:val="left" w:pos="5393"/>
              </w:tabs>
              <w:rPr>
                <w:rFonts w:ascii="Verdana" w:eastAsia="Calibri" w:hAnsi="Verdana"/>
                <w:b/>
                <w:sz w:val="20"/>
              </w:rPr>
            </w:pPr>
            <w:r w:rsidRPr="00DE6D12">
              <w:rPr>
                <w:rFonts w:ascii="Verdana" w:eastAsia="Calibri" w:hAnsi="Verdana"/>
                <w:b/>
                <w:sz w:val="20"/>
              </w:rPr>
              <w:lastRenderedPageBreak/>
              <w:t>Improvement and Change</w:t>
            </w:r>
          </w:p>
          <w:p w14:paraId="58977452" w14:textId="77777777" w:rsidR="004137FF" w:rsidRPr="00DE6D12" w:rsidRDefault="00BD4D8B" w:rsidP="002738B5">
            <w:pPr>
              <w:pStyle w:val="ListParagraph"/>
              <w:numPr>
                <w:ilvl w:val="0"/>
                <w:numId w:val="11"/>
              </w:numPr>
              <w:rPr>
                <w:rFonts w:ascii="Verdana" w:eastAsia="Calibri" w:hAnsi="Verdana"/>
                <w:sz w:val="20"/>
                <w:szCs w:val="20"/>
              </w:rPr>
            </w:pPr>
            <w:r w:rsidRPr="00DE6D12">
              <w:rPr>
                <w:rFonts w:ascii="Verdana" w:eastAsia="Calibri" w:hAnsi="Verdana"/>
                <w:sz w:val="20"/>
                <w:szCs w:val="20"/>
              </w:rPr>
              <w:t xml:space="preserve">Developing and sustaining a culture of innovation and creativity underpinned by evaluation, </w:t>
            </w:r>
          </w:p>
          <w:p w14:paraId="21ABD076" w14:textId="77777777" w:rsidR="006A3F03" w:rsidRDefault="00BD4D8B" w:rsidP="006A3F03">
            <w:pPr>
              <w:pStyle w:val="ListParagraph"/>
              <w:numPr>
                <w:ilvl w:val="0"/>
                <w:numId w:val="11"/>
              </w:numPr>
              <w:rPr>
                <w:rFonts w:ascii="Verdana" w:eastAsia="Calibri" w:hAnsi="Verdana"/>
                <w:sz w:val="20"/>
                <w:szCs w:val="20"/>
              </w:rPr>
            </w:pPr>
            <w:r w:rsidRPr="00DE6D12">
              <w:rPr>
                <w:rFonts w:ascii="Verdana" w:eastAsia="Calibri" w:hAnsi="Verdana"/>
                <w:sz w:val="20"/>
                <w:szCs w:val="20"/>
              </w:rPr>
              <w:t>Taking risks and moving into unchartered territory while taking accountability for results and failures.</w:t>
            </w:r>
          </w:p>
          <w:p w14:paraId="3E9D9C28" w14:textId="77777777" w:rsidR="006A3F03" w:rsidRPr="006A3F03" w:rsidRDefault="00BD4D8B" w:rsidP="006A3F03">
            <w:pPr>
              <w:pStyle w:val="ListParagraph"/>
              <w:numPr>
                <w:ilvl w:val="0"/>
                <w:numId w:val="11"/>
              </w:numPr>
              <w:rPr>
                <w:rFonts w:ascii="Verdana" w:eastAsia="Calibri" w:hAnsi="Verdana"/>
                <w:sz w:val="20"/>
                <w:szCs w:val="20"/>
              </w:rPr>
            </w:pPr>
            <w:r w:rsidRPr="006A3F03">
              <w:rPr>
                <w:rFonts w:ascii="Verdana" w:eastAsia="Calibri" w:hAnsi="Verdana"/>
                <w:sz w:val="20"/>
              </w:rPr>
              <w:t>Focusing team performance on the achievement of outcomes that will maximise the resources available.</w:t>
            </w:r>
          </w:p>
          <w:p w14:paraId="0309CFC6" w14:textId="77777777" w:rsidR="006A3F03" w:rsidRPr="006A3F03" w:rsidRDefault="00BD4D8B" w:rsidP="006A3F03">
            <w:pPr>
              <w:pStyle w:val="ListParagraph"/>
              <w:numPr>
                <w:ilvl w:val="0"/>
                <w:numId w:val="11"/>
              </w:numPr>
              <w:rPr>
                <w:rFonts w:ascii="Verdana" w:eastAsia="Calibri" w:hAnsi="Verdana"/>
                <w:sz w:val="20"/>
                <w:szCs w:val="20"/>
              </w:rPr>
            </w:pPr>
            <w:r w:rsidRPr="006A3F03">
              <w:rPr>
                <w:rFonts w:ascii="Verdana" w:eastAsia="Calibri" w:hAnsi="Verdana"/>
                <w:sz w:val="20"/>
              </w:rPr>
              <w:t>Finding new ways of securing or deploying significant amounts of financial resource to meet new objectives.</w:t>
            </w:r>
          </w:p>
          <w:p w14:paraId="3EC2FD75" w14:textId="02DD68CA" w:rsidR="00BD4D8B" w:rsidRPr="006A3F03" w:rsidRDefault="00BD4D8B" w:rsidP="006A3F03">
            <w:pPr>
              <w:pStyle w:val="ListParagraph"/>
              <w:numPr>
                <w:ilvl w:val="0"/>
                <w:numId w:val="11"/>
              </w:numPr>
              <w:rPr>
                <w:rFonts w:ascii="Verdana" w:eastAsia="Calibri" w:hAnsi="Verdana"/>
                <w:sz w:val="20"/>
                <w:szCs w:val="20"/>
              </w:rPr>
            </w:pPr>
            <w:r w:rsidRPr="006A3F03">
              <w:rPr>
                <w:rFonts w:ascii="Verdana" w:eastAsia="Calibri" w:hAnsi="Verdana"/>
                <w:sz w:val="20"/>
              </w:rPr>
              <w:t>Advocating and role modelling the use of evaluation techniques to support innovation.</w:t>
            </w:r>
          </w:p>
        </w:tc>
        <w:tc>
          <w:tcPr>
            <w:tcW w:w="1876" w:type="dxa"/>
            <w:shd w:val="clear" w:color="auto" w:fill="auto"/>
          </w:tcPr>
          <w:p w14:paraId="598259BA" w14:textId="77777777" w:rsidR="00BD4D8B" w:rsidRPr="00DE6D12" w:rsidRDefault="00BD4D8B" w:rsidP="002A043D">
            <w:pPr>
              <w:rPr>
                <w:rFonts w:ascii="Verdana" w:eastAsia="Calibri" w:hAnsi="Verdana"/>
                <w:sz w:val="20"/>
              </w:rPr>
            </w:pPr>
            <w:r w:rsidRPr="00DE6D12">
              <w:rPr>
                <w:rFonts w:ascii="Verdana" w:eastAsia="Calibri" w:hAnsi="Verdana"/>
                <w:sz w:val="20"/>
              </w:rPr>
              <w:t>Interview</w:t>
            </w:r>
          </w:p>
          <w:p w14:paraId="78B927CF" w14:textId="77777777" w:rsidR="00BD4D8B" w:rsidRPr="00DE6D12" w:rsidRDefault="00BD4D8B" w:rsidP="002A043D">
            <w:pPr>
              <w:rPr>
                <w:rFonts w:ascii="Verdana" w:eastAsia="Calibri" w:hAnsi="Verdana"/>
                <w:sz w:val="20"/>
              </w:rPr>
            </w:pPr>
          </w:p>
        </w:tc>
      </w:tr>
      <w:tr w:rsidR="00BD4D8B" w:rsidRPr="00DE6D12" w14:paraId="117FF3B1" w14:textId="77777777" w:rsidTr="00D41B90">
        <w:tc>
          <w:tcPr>
            <w:tcW w:w="7763" w:type="dxa"/>
            <w:shd w:val="clear" w:color="auto" w:fill="auto"/>
          </w:tcPr>
          <w:p w14:paraId="13599B54" w14:textId="77777777" w:rsidR="00BD4D8B" w:rsidRPr="00DE6D12" w:rsidRDefault="00BD4D8B" w:rsidP="002A043D">
            <w:pPr>
              <w:rPr>
                <w:rFonts w:ascii="Verdana" w:eastAsia="Calibri" w:hAnsi="Verdana"/>
                <w:b/>
                <w:sz w:val="20"/>
              </w:rPr>
            </w:pPr>
            <w:r w:rsidRPr="00DE6D12">
              <w:rPr>
                <w:rFonts w:ascii="Verdana" w:eastAsia="Calibri" w:hAnsi="Verdana"/>
                <w:b/>
                <w:sz w:val="20"/>
              </w:rPr>
              <w:t>People Development</w:t>
            </w:r>
          </w:p>
          <w:p w14:paraId="18FB31A9" w14:textId="77777777" w:rsidR="009C3E29" w:rsidRPr="00DE6D12" w:rsidRDefault="009C3E29" w:rsidP="006A3F03">
            <w:pPr>
              <w:pStyle w:val="ListParagraph"/>
              <w:numPr>
                <w:ilvl w:val="0"/>
                <w:numId w:val="12"/>
              </w:numPr>
              <w:ind w:left="360"/>
              <w:rPr>
                <w:rFonts w:ascii="Verdana" w:eastAsia="Calibri" w:hAnsi="Verdana"/>
                <w:sz w:val="20"/>
                <w:szCs w:val="20"/>
              </w:rPr>
            </w:pPr>
            <w:r w:rsidRPr="00DE6D12">
              <w:rPr>
                <w:rFonts w:ascii="Verdana" w:eastAsia="Calibri" w:hAnsi="Verdana"/>
                <w:sz w:val="20"/>
                <w:szCs w:val="20"/>
              </w:rPr>
              <w:t>P</w:t>
            </w:r>
            <w:r w:rsidR="00BD4D8B" w:rsidRPr="00DE6D12">
              <w:rPr>
                <w:rFonts w:ascii="Verdana" w:eastAsia="Calibri" w:hAnsi="Verdana"/>
                <w:sz w:val="20"/>
                <w:szCs w:val="20"/>
              </w:rPr>
              <w:t>romoting and encouraging a culture where people focus on developing themselves and others to deliver improvement while developing careers.</w:t>
            </w:r>
          </w:p>
          <w:p w14:paraId="555CF885" w14:textId="77777777" w:rsidR="006A3F03" w:rsidRDefault="00BD4D8B" w:rsidP="006A3F03">
            <w:pPr>
              <w:pStyle w:val="ListParagraph"/>
              <w:numPr>
                <w:ilvl w:val="0"/>
                <w:numId w:val="12"/>
              </w:numPr>
              <w:ind w:left="360"/>
              <w:rPr>
                <w:rFonts w:ascii="Verdana" w:eastAsia="Calibri" w:hAnsi="Verdana"/>
                <w:sz w:val="20"/>
                <w:szCs w:val="20"/>
              </w:rPr>
            </w:pPr>
            <w:r w:rsidRPr="00DE6D12">
              <w:rPr>
                <w:rFonts w:ascii="Verdana" w:eastAsia="Calibri" w:hAnsi="Verdana"/>
                <w:sz w:val="20"/>
                <w:szCs w:val="20"/>
              </w:rPr>
              <w:t>Holding direct reports accountable for people development generall</w:t>
            </w:r>
            <w:r w:rsidR="00FB4BBD" w:rsidRPr="00DE6D12">
              <w:rPr>
                <w:rFonts w:ascii="Verdana" w:eastAsia="Calibri" w:hAnsi="Verdana"/>
                <w:sz w:val="20"/>
                <w:szCs w:val="20"/>
              </w:rPr>
              <w:t xml:space="preserve">y </w:t>
            </w:r>
            <w:r w:rsidRPr="00DE6D12">
              <w:rPr>
                <w:rFonts w:ascii="Verdana" w:eastAsia="Calibri" w:hAnsi="Verdana"/>
                <w:sz w:val="20"/>
                <w:szCs w:val="20"/>
              </w:rPr>
              <w:t>and developing the talent pools required for succession.</w:t>
            </w:r>
          </w:p>
          <w:p w14:paraId="4570D54C" w14:textId="77777777" w:rsidR="006A3F03" w:rsidRPr="006A3F03" w:rsidRDefault="00BD4D8B" w:rsidP="006A3F03">
            <w:pPr>
              <w:pStyle w:val="ListParagraph"/>
              <w:numPr>
                <w:ilvl w:val="0"/>
                <w:numId w:val="12"/>
              </w:numPr>
              <w:ind w:left="360"/>
              <w:rPr>
                <w:rFonts w:ascii="Verdana" w:eastAsia="Calibri" w:hAnsi="Verdana"/>
                <w:sz w:val="20"/>
                <w:szCs w:val="20"/>
              </w:rPr>
            </w:pPr>
            <w:r w:rsidRPr="006A3F03">
              <w:rPr>
                <w:rFonts w:ascii="Verdana" w:eastAsia="Calibri" w:hAnsi="Verdana"/>
                <w:sz w:val="20"/>
              </w:rPr>
              <w:t>Ensuring comprehensive workforce plan</w:t>
            </w:r>
            <w:r w:rsidR="00FB4BBD" w:rsidRPr="006A3F03">
              <w:rPr>
                <w:rFonts w:ascii="Verdana" w:eastAsia="Calibri" w:hAnsi="Verdana"/>
                <w:sz w:val="20"/>
              </w:rPr>
              <w:t xml:space="preserve">s </w:t>
            </w:r>
            <w:r w:rsidRPr="006A3F03">
              <w:rPr>
                <w:rFonts w:ascii="Verdana" w:eastAsia="Calibri" w:hAnsi="Verdana"/>
                <w:sz w:val="20"/>
              </w:rPr>
              <w:t>are in place</w:t>
            </w:r>
            <w:r w:rsidR="00FB4BBD" w:rsidRPr="006A3F03">
              <w:rPr>
                <w:rFonts w:ascii="Verdana" w:eastAsia="Calibri" w:hAnsi="Verdana"/>
                <w:sz w:val="20"/>
              </w:rPr>
              <w:t xml:space="preserve"> for the wider public health workforce</w:t>
            </w:r>
          </w:p>
          <w:p w14:paraId="008F5C70" w14:textId="660769C0" w:rsidR="00922B79" w:rsidRPr="006A3F03" w:rsidRDefault="00922B79" w:rsidP="006A3F03">
            <w:pPr>
              <w:pStyle w:val="ListParagraph"/>
              <w:numPr>
                <w:ilvl w:val="0"/>
                <w:numId w:val="12"/>
              </w:numPr>
              <w:ind w:left="360"/>
              <w:rPr>
                <w:rFonts w:ascii="Verdana" w:eastAsia="Calibri" w:hAnsi="Verdana"/>
                <w:sz w:val="20"/>
                <w:szCs w:val="20"/>
              </w:rPr>
            </w:pPr>
            <w:r w:rsidRPr="006A3F03">
              <w:rPr>
                <w:rFonts w:ascii="Verdana" w:eastAsia="Calibri" w:hAnsi="Verdana"/>
                <w:sz w:val="20"/>
              </w:rPr>
              <w:t xml:space="preserve">Carries out effective performance management of staff </w:t>
            </w:r>
            <w:r w:rsidR="00D41B90" w:rsidRPr="006A3F03">
              <w:rPr>
                <w:rFonts w:ascii="Verdana" w:eastAsia="Calibri" w:hAnsi="Verdana"/>
                <w:sz w:val="20"/>
              </w:rPr>
              <w:t xml:space="preserve">which </w:t>
            </w:r>
            <w:proofErr w:type="gramStart"/>
            <w:r w:rsidR="00D41B90" w:rsidRPr="006A3F03">
              <w:rPr>
                <w:rFonts w:ascii="Verdana" w:eastAsia="Calibri" w:hAnsi="Verdana"/>
                <w:sz w:val="20"/>
              </w:rPr>
              <w:t xml:space="preserve">inform </w:t>
            </w:r>
            <w:r w:rsidRPr="006A3F03">
              <w:rPr>
                <w:rFonts w:ascii="Verdana" w:eastAsia="Calibri" w:hAnsi="Verdana"/>
                <w:sz w:val="20"/>
              </w:rPr>
              <w:t xml:space="preserve"> workforce</w:t>
            </w:r>
            <w:proofErr w:type="gramEnd"/>
            <w:r w:rsidRPr="006A3F03">
              <w:rPr>
                <w:rFonts w:ascii="Verdana" w:eastAsia="Calibri" w:hAnsi="Verdana"/>
                <w:sz w:val="20"/>
              </w:rPr>
              <w:t xml:space="preserve"> planning and training needs assessments</w:t>
            </w:r>
          </w:p>
        </w:tc>
        <w:tc>
          <w:tcPr>
            <w:tcW w:w="1876" w:type="dxa"/>
            <w:shd w:val="clear" w:color="auto" w:fill="auto"/>
          </w:tcPr>
          <w:p w14:paraId="16D9DA3B" w14:textId="2F8E763A" w:rsidR="00BD4D8B" w:rsidRPr="00DE6D12" w:rsidRDefault="00BD4D8B" w:rsidP="002A043D">
            <w:pPr>
              <w:rPr>
                <w:rFonts w:ascii="Verdana" w:eastAsia="Calibri" w:hAnsi="Verdana"/>
                <w:sz w:val="20"/>
              </w:rPr>
            </w:pPr>
            <w:r w:rsidRPr="00DE6D12">
              <w:rPr>
                <w:rFonts w:ascii="Verdana" w:eastAsia="Calibri" w:hAnsi="Verdana"/>
                <w:sz w:val="20"/>
              </w:rPr>
              <w:t>Applicatio</w:t>
            </w:r>
            <w:r w:rsidR="006A3F03">
              <w:rPr>
                <w:rFonts w:ascii="Verdana" w:eastAsia="Calibri" w:hAnsi="Verdana"/>
                <w:sz w:val="20"/>
              </w:rPr>
              <w:t>n and</w:t>
            </w:r>
            <w:r w:rsidRPr="00DE6D12">
              <w:rPr>
                <w:rFonts w:ascii="Verdana" w:eastAsia="Calibri" w:hAnsi="Verdana"/>
                <w:sz w:val="20"/>
              </w:rPr>
              <w:t xml:space="preserve"> </w:t>
            </w:r>
          </w:p>
          <w:p w14:paraId="3E95BCFC" w14:textId="77777777" w:rsidR="00BD4D8B" w:rsidRPr="00DE6D12" w:rsidRDefault="00BD4D8B" w:rsidP="002A043D">
            <w:pPr>
              <w:rPr>
                <w:rFonts w:ascii="Verdana" w:eastAsia="Calibri" w:hAnsi="Verdana"/>
                <w:sz w:val="20"/>
              </w:rPr>
            </w:pPr>
            <w:r w:rsidRPr="00DE6D12">
              <w:rPr>
                <w:rFonts w:ascii="Verdana" w:eastAsia="Calibri" w:hAnsi="Verdana"/>
                <w:sz w:val="20"/>
              </w:rPr>
              <w:t>Interview</w:t>
            </w:r>
          </w:p>
        </w:tc>
      </w:tr>
      <w:tr w:rsidR="00BD4D8B" w:rsidRPr="00DE6D12" w14:paraId="3684E9CF" w14:textId="77777777" w:rsidTr="00D41B90">
        <w:tc>
          <w:tcPr>
            <w:tcW w:w="7763" w:type="dxa"/>
            <w:shd w:val="clear" w:color="auto" w:fill="auto"/>
          </w:tcPr>
          <w:p w14:paraId="74B48AE4" w14:textId="77777777" w:rsidR="00BD4D8B" w:rsidRPr="00DE6D12" w:rsidRDefault="00BD4D8B" w:rsidP="002A043D">
            <w:pPr>
              <w:rPr>
                <w:rFonts w:ascii="Verdana" w:eastAsia="Calibri" w:hAnsi="Verdana"/>
                <w:b/>
                <w:sz w:val="20"/>
              </w:rPr>
            </w:pPr>
            <w:r w:rsidRPr="00DE6D12">
              <w:rPr>
                <w:rFonts w:ascii="Verdana" w:eastAsia="Calibri" w:hAnsi="Verdana"/>
                <w:b/>
                <w:sz w:val="20"/>
              </w:rPr>
              <w:t>Functional competencies</w:t>
            </w:r>
          </w:p>
          <w:p w14:paraId="4D413281"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Demonstrates detailed knowledge of methods of developing clinical quality assurance, quality improvement and evidence based clinical and/or public health practice.</w:t>
            </w:r>
          </w:p>
          <w:p w14:paraId="54000DE2" w14:textId="77777777" w:rsidR="00BD4D8B" w:rsidRPr="00C66B86" w:rsidRDefault="00BD4D8B" w:rsidP="00BD4D8B">
            <w:pPr>
              <w:numPr>
                <w:ilvl w:val="0"/>
                <w:numId w:val="8"/>
              </w:numPr>
              <w:ind w:left="284" w:hanging="284"/>
              <w:contextualSpacing/>
              <w:rPr>
                <w:rFonts w:ascii="Verdana" w:eastAsia="Calibri" w:hAnsi="Verdana"/>
                <w:sz w:val="20"/>
              </w:rPr>
            </w:pPr>
            <w:r w:rsidRPr="00C66B86">
              <w:rPr>
                <w:rFonts w:ascii="Verdana" w:eastAsia="Calibri" w:hAnsi="Verdana"/>
                <w:sz w:val="20"/>
              </w:rPr>
              <w:t>Full and high level of understanding of epidemiology and statistics, public health practice, health promotion, health economics and health care evaluation. Develops service practices and ensures appropriate application. Provides advice on the more complex instances.</w:t>
            </w:r>
          </w:p>
          <w:p w14:paraId="593B6B6F" w14:textId="2121804E" w:rsidR="00381B67" w:rsidRPr="00DE6D12" w:rsidRDefault="00381B67"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Detailed knowledge and experience in driving and assisting in the management of change in a variety of settings, including behaviour change, proactively seeking opportunities to create and implement improved service effectiveness.</w:t>
            </w:r>
          </w:p>
        </w:tc>
        <w:tc>
          <w:tcPr>
            <w:tcW w:w="1876" w:type="dxa"/>
            <w:shd w:val="clear" w:color="auto" w:fill="auto"/>
          </w:tcPr>
          <w:p w14:paraId="18F97EDF" w14:textId="14D6028A" w:rsidR="00BD4D8B" w:rsidRPr="00DE6D12" w:rsidRDefault="00BD4D8B" w:rsidP="006A3F03">
            <w:pPr>
              <w:rPr>
                <w:rFonts w:ascii="Verdana" w:eastAsia="Calibri" w:hAnsi="Verdana"/>
                <w:sz w:val="20"/>
              </w:rPr>
            </w:pPr>
            <w:r w:rsidRPr="00DE6D12">
              <w:rPr>
                <w:rFonts w:ascii="Verdana" w:eastAsia="Calibri" w:hAnsi="Verdana"/>
                <w:sz w:val="20"/>
              </w:rPr>
              <w:t>Application</w:t>
            </w:r>
            <w:r w:rsidR="00922B79" w:rsidRPr="00DE6D12">
              <w:rPr>
                <w:rFonts w:ascii="Verdana" w:eastAsia="Calibri" w:hAnsi="Verdana"/>
                <w:sz w:val="20"/>
              </w:rPr>
              <w:t xml:space="preserve"> and</w:t>
            </w:r>
            <w:r w:rsidR="006A3F03">
              <w:rPr>
                <w:rFonts w:ascii="Verdana" w:eastAsia="Calibri" w:hAnsi="Verdana"/>
                <w:sz w:val="20"/>
              </w:rPr>
              <w:t xml:space="preserve"> </w:t>
            </w:r>
            <w:r w:rsidRPr="00DE6D12">
              <w:rPr>
                <w:rFonts w:ascii="Verdana" w:eastAsia="Calibri" w:hAnsi="Verdana"/>
                <w:sz w:val="20"/>
              </w:rPr>
              <w:t>Interview</w:t>
            </w:r>
          </w:p>
        </w:tc>
      </w:tr>
      <w:tr w:rsidR="00BD4D8B" w:rsidRPr="00DE6D12" w14:paraId="6C1066F4" w14:textId="77777777" w:rsidTr="00D41B90">
        <w:tc>
          <w:tcPr>
            <w:tcW w:w="7763" w:type="dxa"/>
            <w:shd w:val="clear" w:color="auto" w:fill="auto"/>
          </w:tcPr>
          <w:p w14:paraId="565ED18D" w14:textId="77777777" w:rsidR="00BD4D8B" w:rsidRPr="00DE6D12" w:rsidRDefault="00BD4D8B" w:rsidP="002A043D">
            <w:pPr>
              <w:rPr>
                <w:rFonts w:ascii="Verdana" w:eastAsia="Calibri" w:hAnsi="Verdana"/>
                <w:b/>
                <w:sz w:val="20"/>
              </w:rPr>
            </w:pPr>
            <w:r w:rsidRPr="00DE6D12">
              <w:rPr>
                <w:rFonts w:ascii="Verdana" w:eastAsia="Calibri" w:hAnsi="Verdana"/>
                <w:b/>
                <w:sz w:val="20"/>
              </w:rPr>
              <w:t>Qualifications</w:t>
            </w:r>
          </w:p>
          <w:p w14:paraId="0E99FD92" w14:textId="77777777" w:rsidR="00BD4D8B" w:rsidRPr="00DE6D12" w:rsidRDefault="00BD4D8B" w:rsidP="002A043D">
            <w:pPr>
              <w:pStyle w:val="ListParagraph"/>
              <w:spacing w:after="0" w:line="280" w:lineRule="atLeast"/>
              <w:ind w:left="0"/>
              <w:rPr>
                <w:rFonts w:ascii="Verdana" w:eastAsia="Times New Roman" w:hAnsi="Verdana" w:cs="Arial"/>
                <w:sz w:val="20"/>
                <w:szCs w:val="20"/>
                <w:lang w:eastAsia="en-GB"/>
              </w:rPr>
            </w:pPr>
            <w:hyperlink r:id="rId7" w:history="1">
              <w:r w:rsidRPr="00DE6D12">
                <w:rPr>
                  <w:rStyle w:val="Hyperlink"/>
                  <w:rFonts w:ascii="Verdana" w:eastAsia="Times New Roman" w:hAnsi="Verdana" w:cs="Arial"/>
                  <w:sz w:val="20"/>
                  <w:szCs w:val="20"/>
                </w:rPr>
                <w:t>The National Health Service (Appointment of Consultants) Regulations 1996 (legislation.gov.uk)</w:t>
              </w:r>
            </w:hyperlink>
          </w:p>
          <w:p w14:paraId="44A17A5E" w14:textId="77777777" w:rsidR="00BD4D8B" w:rsidRPr="00DE6D12" w:rsidRDefault="00BD4D8B" w:rsidP="00BD4D8B">
            <w:pPr>
              <w:numPr>
                <w:ilvl w:val="0"/>
                <w:numId w:val="8"/>
              </w:numPr>
              <w:ind w:left="284" w:hanging="284"/>
              <w:contextualSpacing/>
              <w:rPr>
                <w:rFonts w:ascii="Verdana" w:hAnsi="Verdana"/>
                <w:sz w:val="20"/>
              </w:rPr>
            </w:pPr>
            <w:r w:rsidRPr="00DE6D12">
              <w:rPr>
                <w:rFonts w:ascii="Verdana" w:eastAsia="Calibri" w:hAnsi="Verdana"/>
                <w:sz w:val="20"/>
              </w:rPr>
              <w:t>In</w:t>
            </w:r>
            <w:r w:rsidRPr="00DE6D12">
              <w:rPr>
                <w:rFonts w:ascii="Verdana" w:hAnsi="Verdana"/>
                <w:sz w:val="20"/>
              </w:rPr>
              <w:t xml:space="preserve"> line with legislation, inclusion in the GMC Full and Specialist Register with a license </w:t>
            </w:r>
            <w:r w:rsidRPr="00DE6D12">
              <w:rPr>
                <w:rFonts w:ascii="Verdana" w:eastAsia="Calibri" w:hAnsi="Verdana"/>
                <w:sz w:val="20"/>
              </w:rPr>
              <w:t>to</w:t>
            </w:r>
            <w:r w:rsidRPr="00DE6D12">
              <w:rPr>
                <w:rFonts w:ascii="Verdana" w:hAnsi="Verdana"/>
                <w:sz w:val="20"/>
              </w:rPr>
              <w:t xml:space="preserve"> practice/GDC Specialist List </w:t>
            </w:r>
            <w:r w:rsidRPr="00DE6D12">
              <w:rPr>
                <w:rFonts w:ascii="Verdana" w:hAnsi="Verdana"/>
                <w:b/>
                <w:bCs/>
                <w:sz w:val="20"/>
              </w:rPr>
              <w:t>or</w:t>
            </w:r>
            <w:r w:rsidRPr="00DE6D12">
              <w:rPr>
                <w:rFonts w:ascii="Verdana" w:hAnsi="Verdana"/>
                <w:sz w:val="20"/>
              </w:rPr>
              <w:t xml:space="preserve"> inclusion in the UK Public Health Register (UKPHR) for Public </w:t>
            </w:r>
            <w:r w:rsidRPr="00DE6D12">
              <w:rPr>
                <w:rFonts w:ascii="Verdana" w:eastAsia="Calibri" w:hAnsi="Verdana"/>
                <w:sz w:val="20"/>
              </w:rPr>
              <w:t>Health</w:t>
            </w:r>
            <w:r w:rsidRPr="00DE6D12">
              <w:rPr>
                <w:rFonts w:ascii="Verdana" w:hAnsi="Verdana"/>
                <w:sz w:val="20"/>
              </w:rPr>
              <w:t xml:space="preserve"> Specialists </w:t>
            </w:r>
            <w:r w:rsidRPr="00DE6D12">
              <w:rPr>
                <w:rFonts w:ascii="Verdana" w:hAnsi="Verdana"/>
                <w:b/>
                <w:bCs/>
                <w:sz w:val="20"/>
              </w:rPr>
              <w:t xml:space="preserve">at the point of application. </w:t>
            </w:r>
          </w:p>
          <w:p w14:paraId="01E04810" w14:textId="77777777" w:rsidR="00BD4D8B" w:rsidRPr="00DE6D12" w:rsidRDefault="00BD4D8B" w:rsidP="00BD4D8B">
            <w:pPr>
              <w:numPr>
                <w:ilvl w:val="0"/>
                <w:numId w:val="8"/>
              </w:numPr>
              <w:ind w:left="284" w:hanging="284"/>
              <w:contextualSpacing/>
              <w:rPr>
                <w:rFonts w:ascii="Verdana" w:eastAsia="Calibri" w:hAnsi="Verdana"/>
                <w:i/>
                <w:sz w:val="20"/>
              </w:rPr>
            </w:pPr>
            <w:r w:rsidRPr="00DE6D12">
              <w:rPr>
                <w:rFonts w:ascii="Verdana" w:hAnsi="Verdana"/>
                <w:i/>
                <w:sz w:val="20"/>
              </w:rPr>
              <w:t xml:space="preserve">If </w:t>
            </w:r>
            <w:r w:rsidRPr="00DE6D12">
              <w:rPr>
                <w:rFonts w:ascii="Verdana" w:eastAsia="Calibri" w:hAnsi="Verdana"/>
                <w:i/>
                <w:sz w:val="20"/>
              </w:rPr>
              <w:t>included</w:t>
            </w:r>
            <w:r w:rsidRPr="00DE6D12">
              <w:rPr>
                <w:rFonts w:ascii="Verdana" w:hAnsi="Verdana"/>
                <w:i/>
                <w:sz w:val="20"/>
              </w:rPr>
              <w:t xml:space="preserve"> in the GMC Specialist Register/GDC Specialist List in a specialty other than public health medicine/dental public health, candidates must have equivalent training and/or appropriate experience of public health practice</w:t>
            </w:r>
          </w:p>
          <w:p w14:paraId="14392E1C" w14:textId="77777777" w:rsidR="00BD4D8B" w:rsidRPr="00DE6D12" w:rsidRDefault="00BD4D8B" w:rsidP="00BD4D8B">
            <w:pPr>
              <w:numPr>
                <w:ilvl w:val="0"/>
                <w:numId w:val="8"/>
              </w:numPr>
              <w:ind w:left="284" w:hanging="284"/>
              <w:contextualSpacing/>
              <w:rPr>
                <w:rFonts w:ascii="Verdana" w:hAnsi="Verdana" w:cs="Arial"/>
                <w:sz w:val="20"/>
              </w:rPr>
            </w:pPr>
            <w:r w:rsidRPr="00DE6D12">
              <w:rPr>
                <w:rFonts w:ascii="Verdana" w:hAnsi="Verdana" w:cs="Arial"/>
                <w:sz w:val="20"/>
              </w:rPr>
              <w:t xml:space="preserve">Public health </w:t>
            </w:r>
            <w:r w:rsidRPr="00DE6D12">
              <w:rPr>
                <w:rFonts w:ascii="Verdana" w:hAnsi="Verdana" w:cs="Arial"/>
                <w:b/>
                <w:bCs/>
                <w:sz w:val="20"/>
              </w:rPr>
              <w:t>specialty registrar applicants</w:t>
            </w:r>
            <w:r w:rsidRPr="00DE6D12">
              <w:rPr>
                <w:rFonts w:ascii="Verdana" w:hAnsi="Verdana" w:cs="Arial"/>
                <w:sz w:val="20"/>
              </w:rPr>
              <w:t xml:space="preserve"> who are currently on the UK public health training program and not yet on the GMC Specialist Register, GDC Specialist List in dental public health or UKPHR </w:t>
            </w:r>
            <w:bookmarkStart w:id="0" w:name="_Hlk192852900"/>
            <w:r w:rsidRPr="00DE6D12">
              <w:rPr>
                <w:rFonts w:ascii="Verdana" w:hAnsi="Verdana" w:cs="Arial"/>
                <w:b/>
                <w:bCs/>
                <w:sz w:val="20"/>
              </w:rPr>
              <w:t>mus</w:t>
            </w:r>
            <w:r w:rsidRPr="00DE6D12">
              <w:rPr>
                <w:rFonts w:ascii="Verdana" w:hAnsi="Verdana" w:cs="Arial"/>
                <w:sz w:val="20"/>
              </w:rPr>
              <w:t>t provide verifiable signed documentary evidence that they are within 6 months of gaining entry to a register at the date of interview.</w:t>
            </w:r>
            <w:r w:rsidRPr="00DE6D12">
              <w:rPr>
                <w:rFonts w:ascii="Verdana" w:eastAsiaTheme="minorHAnsi" w:hAnsi="Verdana" w:cs="Arial"/>
                <w:b/>
                <w:bCs/>
                <w:i/>
                <w:iCs/>
                <w:sz w:val="20"/>
                <w14:ligatures w14:val="standardContextual"/>
              </w:rPr>
              <w:t xml:space="preserve"> </w:t>
            </w:r>
            <w:r w:rsidRPr="00DE6D12">
              <w:rPr>
                <w:rFonts w:ascii="Verdana" w:hAnsi="Verdana" w:cs="Arial"/>
                <w:b/>
                <w:bCs/>
                <w:sz w:val="20"/>
              </w:rPr>
              <w:t>Applicants going through the portfolio registration routes (GMC or UKPHR) are not eligible to be shortlisted for interview until they are included on the register. The six-month rule does not apply to these portfolio route applicants</w:t>
            </w:r>
            <w:r w:rsidRPr="00DE6D12">
              <w:rPr>
                <w:rFonts w:ascii="Verdana" w:hAnsi="Verdana" w:cs="Arial"/>
                <w:b/>
                <w:bCs/>
                <w:i/>
                <w:iCs/>
                <w:sz w:val="20"/>
              </w:rPr>
              <w:t>.</w:t>
            </w:r>
          </w:p>
          <w:bookmarkEnd w:id="0"/>
          <w:p w14:paraId="70AAA6A9"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hAnsi="Verdana" w:cs="Arial"/>
                <w:bCs/>
                <w:sz w:val="20"/>
              </w:rPr>
              <w:lastRenderedPageBreak/>
              <w:t>If an applicant is UK trained in Public Health, they must ALSO be a holder of a Certificate of Completion of Training (CCT), or be within six months of award of CCT by date of interview</w:t>
            </w:r>
          </w:p>
          <w:p w14:paraId="5DC8A4F8"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hAnsi="Verdana" w:cs="Arial"/>
                <w:sz w:val="20"/>
              </w:rPr>
              <w:t xml:space="preserve">If an applicant is non-UK trained, they will be required to show evidence of equivalence to the UK CCT </w:t>
            </w:r>
          </w:p>
          <w:p w14:paraId="756D966E"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hAnsi="Verdana"/>
                <w:spacing w:val="-2"/>
                <w:sz w:val="20"/>
              </w:rPr>
              <w:t>MFPH by examination, by exemption or by assessment, or equivalent</w:t>
            </w:r>
          </w:p>
        </w:tc>
        <w:tc>
          <w:tcPr>
            <w:tcW w:w="1876" w:type="dxa"/>
            <w:shd w:val="clear" w:color="auto" w:fill="auto"/>
          </w:tcPr>
          <w:p w14:paraId="637CDD20" w14:textId="77777777" w:rsidR="006A3F03" w:rsidRDefault="006A3F03" w:rsidP="002A043D">
            <w:pPr>
              <w:rPr>
                <w:rFonts w:ascii="Verdana" w:eastAsia="Calibri" w:hAnsi="Verdana"/>
                <w:b/>
                <w:sz w:val="20"/>
              </w:rPr>
            </w:pPr>
          </w:p>
          <w:p w14:paraId="5ADD04DD" w14:textId="5F73152D" w:rsidR="00BD4D8B" w:rsidRPr="00DE6D12" w:rsidRDefault="00BD4D8B" w:rsidP="002A043D">
            <w:pPr>
              <w:rPr>
                <w:rFonts w:ascii="Verdana" w:eastAsia="Calibri" w:hAnsi="Verdana"/>
                <w:sz w:val="20"/>
              </w:rPr>
            </w:pPr>
            <w:r w:rsidRPr="00DE6D12">
              <w:rPr>
                <w:rFonts w:ascii="Verdana" w:eastAsia="Calibri" w:hAnsi="Verdana"/>
                <w:sz w:val="20"/>
              </w:rPr>
              <w:t>Application</w:t>
            </w:r>
          </w:p>
        </w:tc>
      </w:tr>
      <w:tr w:rsidR="00BD4D8B" w:rsidRPr="00DE6D12" w14:paraId="01C99A1C" w14:textId="77777777" w:rsidTr="00D41B90">
        <w:tc>
          <w:tcPr>
            <w:tcW w:w="7763" w:type="dxa"/>
            <w:shd w:val="clear" w:color="auto" w:fill="auto"/>
          </w:tcPr>
          <w:p w14:paraId="4C4A8238"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Must meet minimum CPD requirements (i.e. be up to date) in accordance with the Faculty of Public Health requirements or other recognised body</w:t>
            </w:r>
          </w:p>
        </w:tc>
        <w:tc>
          <w:tcPr>
            <w:tcW w:w="1876" w:type="dxa"/>
            <w:shd w:val="clear" w:color="auto" w:fill="auto"/>
          </w:tcPr>
          <w:p w14:paraId="6172879E" w14:textId="7E5A193D" w:rsidR="00BD4D8B" w:rsidRPr="00DE6D12" w:rsidRDefault="00BD4D8B" w:rsidP="002A043D">
            <w:pPr>
              <w:rPr>
                <w:rFonts w:ascii="Verdana" w:eastAsia="Calibri" w:hAnsi="Verdana"/>
                <w:sz w:val="20"/>
              </w:rPr>
            </w:pPr>
            <w:r w:rsidRPr="00DE6D12">
              <w:rPr>
                <w:rFonts w:ascii="Verdana" w:eastAsia="Calibri" w:hAnsi="Verdana"/>
                <w:sz w:val="20"/>
              </w:rPr>
              <w:t xml:space="preserve">Application </w:t>
            </w:r>
          </w:p>
        </w:tc>
      </w:tr>
      <w:tr w:rsidR="00BD4D8B" w:rsidRPr="00DE6D12" w14:paraId="17F0BB16" w14:textId="77777777" w:rsidTr="00D41B90">
        <w:tc>
          <w:tcPr>
            <w:tcW w:w="7763" w:type="dxa"/>
            <w:shd w:val="clear" w:color="auto" w:fill="auto"/>
          </w:tcPr>
          <w:p w14:paraId="2E29D241" w14:textId="77777777" w:rsidR="00BD4D8B" w:rsidRPr="00DE6D12" w:rsidRDefault="00BD4D8B" w:rsidP="002A043D">
            <w:pPr>
              <w:contextualSpacing/>
              <w:rPr>
                <w:rFonts w:ascii="Verdana" w:eastAsia="Calibri" w:hAnsi="Verdana"/>
                <w:b/>
                <w:sz w:val="20"/>
              </w:rPr>
            </w:pPr>
            <w:r w:rsidRPr="00DE6D12">
              <w:rPr>
                <w:rFonts w:ascii="Verdana" w:eastAsia="Calibri" w:hAnsi="Verdana"/>
                <w:b/>
                <w:sz w:val="20"/>
              </w:rPr>
              <w:t>Knowledge, experience and skills</w:t>
            </w:r>
          </w:p>
        </w:tc>
        <w:tc>
          <w:tcPr>
            <w:tcW w:w="1876" w:type="dxa"/>
            <w:shd w:val="clear" w:color="auto" w:fill="auto"/>
          </w:tcPr>
          <w:p w14:paraId="1573D64B" w14:textId="77777777" w:rsidR="00BD4D8B" w:rsidRPr="00DE6D12" w:rsidRDefault="00BD4D8B" w:rsidP="002A043D">
            <w:pPr>
              <w:rPr>
                <w:rFonts w:ascii="Verdana" w:eastAsia="Calibri" w:hAnsi="Verdana"/>
                <w:sz w:val="20"/>
              </w:rPr>
            </w:pPr>
          </w:p>
        </w:tc>
      </w:tr>
      <w:tr w:rsidR="00BD4D8B" w:rsidRPr="00DE6D12" w14:paraId="250BDEAC" w14:textId="77777777" w:rsidTr="00D41B90">
        <w:tc>
          <w:tcPr>
            <w:tcW w:w="7763" w:type="dxa"/>
            <w:shd w:val="clear" w:color="auto" w:fill="auto"/>
          </w:tcPr>
          <w:p w14:paraId="09460B8B"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Understanding of NHS and local government cultures, structures and policies</w:t>
            </w:r>
          </w:p>
        </w:tc>
        <w:tc>
          <w:tcPr>
            <w:tcW w:w="1876" w:type="dxa"/>
            <w:shd w:val="clear" w:color="auto" w:fill="auto"/>
          </w:tcPr>
          <w:p w14:paraId="5F359116" w14:textId="77777777" w:rsidR="00BD4D8B" w:rsidRPr="00DE6D12" w:rsidRDefault="00BD4D8B" w:rsidP="002A043D">
            <w:pPr>
              <w:rPr>
                <w:rFonts w:ascii="Verdana" w:eastAsia="Calibri" w:hAnsi="Verdana"/>
                <w:sz w:val="20"/>
              </w:rPr>
            </w:pPr>
            <w:r w:rsidRPr="00DE6D12">
              <w:rPr>
                <w:rFonts w:ascii="Verdana" w:eastAsia="Calibri" w:hAnsi="Verdana"/>
                <w:sz w:val="20"/>
              </w:rPr>
              <w:t>Interview</w:t>
            </w:r>
          </w:p>
        </w:tc>
      </w:tr>
      <w:tr w:rsidR="00BD4D8B" w:rsidRPr="00DE6D12" w14:paraId="16C741CD" w14:textId="77777777" w:rsidTr="00D41B90">
        <w:tc>
          <w:tcPr>
            <w:tcW w:w="7763" w:type="dxa"/>
            <w:shd w:val="clear" w:color="auto" w:fill="auto"/>
          </w:tcPr>
          <w:p w14:paraId="536A329E"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Understanding of social and political environment</w:t>
            </w:r>
          </w:p>
        </w:tc>
        <w:tc>
          <w:tcPr>
            <w:tcW w:w="1876" w:type="dxa"/>
            <w:shd w:val="clear" w:color="auto" w:fill="auto"/>
          </w:tcPr>
          <w:p w14:paraId="2C24B1D7" w14:textId="77777777" w:rsidR="00BD4D8B" w:rsidRPr="00DE6D12" w:rsidRDefault="00BD4D8B" w:rsidP="002A043D">
            <w:pPr>
              <w:rPr>
                <w:rFonts w:ascii="Verdana" w:eastAsia="Calibri" w:hAnsi="Verdana"/>
                <w:sz w:val="20"/>
              </w:rPr>
            </w:pPr>
            <w:r w:rsidRPr="00DE6D12">
              <w:rPr>
                <w:rFonts w:ascii="Verdana" w:eastAsia="Calibri" w:hAnsi="Verdana"/>
                <w:sz w:val="20"/>
              </w:rPr>
              <w:t>Interview</w:t>
            </w:r>
          </w:p>
        </w:tc>
      </w:tr>
      <w:tr w:rsidR="00BD4D8B" w:rsidRPr="00DE6D12" w14:paraId="6524EDBA" w14:textId="77777777" w:rsidTr="00D41B90">
        <w:tc>
          <w:tcPr>
            <w:tcW w:w="7763" w:type="dxa"/>
            <w:shd w:val="clear" w:color="auto" w:fill="auto"/>
          </w:tcPr>
          <w:p w14:paraId="75340DE4"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Excellent oral and written communication skills (including dealing with the media) including to present to mixed audiences and the media</w:t>
            </w:r>
          </w:p>
        </w:tc>
        <w:tc>
          <w:tcPr>
            <w:tcW w:w="1876" w:type="dxa"/>
            <w:shd w:val="clear" w:color="auto" w:fill="auto"/>
          </w:tcPr>
          <w:p w14:paraId="20BF4774" w14:textId="2AF05D1B" w:rsidR="00BD4D8B" w:rsidRPr="00DE6D12" w:rsidRDefault="00BD4D8B" w:rsidP="002A043D">
            <w:pPr>
              <w:rPr>
                <w:rFonts w:ascii="Verdana" w:eastAsia="Calibri" w:hAnsi="Verdana"/>
                <w:sz w:val="20"/>
              </w:rPr>
            </w:pPr>
            <w:r w:rsidRPr="00DE6D12">
              <w:rPr>
                <w:rFonts w:ascii="Verdana" w:eastAsia="Calibri" w:hAnsi="Verdana"/>
                <w:sz w:val="20"/>
              </w:rPr>
              <w:t xml:space="preserve">Application </w:t>
            </w:r>
            <w:r w:rsidR="00A54E00">
              <w:rPr>
                <w:rFonts w:ascii="Verdana" w:eastAsia="Calibri" w:hAnsi="Verdana"/>
                <w:sz w:val="20"/>
              </w:rPr>
              <w:t xml:space="preserve">and </w:t>
            </w:r>
            <w:r w:rsidRPr="00DE6D12">
              <w:rPr>
                <w:rFonts w:ascii="Verdana" w:eastAsia="Calibri" w:hAnsi="Verdana"/>
                <w:sz w:val="20"/>
              </w:rPr>
              <w:t>Interview</w:t>
            </w:r>
          </w:p>
        </w:tc>
      </w:tr>
      <w:tr w:rsidR="00BD4D8B" w:rsidRPr="00DE6D12" w14:paraId="44827B44" w14:textId="77777777" w:rsidTr="00D41B90">
        <w:tc>
          <w:tcPr>
            <w:tcW w:w="7763" w:type="dxa"/>
            <w:shd w:val="clear" w:color="auto" w:fill="auto"/>
          </w:tcPr>
          <w:p w14:paraId="54C0E870"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Practical experience in facilitating change</w:t>
            </w:r>
          </w:p>
        </w:tc>
        <w:tc>
          <w:tcPr>
            <w:tcW w:w="1876" w:type="dxa"/>
            <w:shd w:val="clear" w:color="auto" w:fill="auto"/>
          </w:tcPr>
          <w:p w14:paraId="6AC5E22B" w14:textId="16A459BF" w:rsidR="00BD4D8B" w:rsidRPr="00DE6D12" w:rsidRDefault="00A54E00" w:rsidP="002A043D">
            <w:pPr>
              <w:rPr>
                <w:rFonts w:ascii="Verdana" w:eastAsia="Calibri" w:hAnsi="Verdana"/>
                <w:sz w:val="20"/>
              </w:rPr>
            </w:pPr>
            <w:r w:rsidRPr="00DE6D12">
              <w:rPr>
                <w:rFonts w:ascii="Verdana" w:eastAsia="Calibri" w:hAnsi="Verdana"/>
                <w:sz w:val="20"/>
              </w:rPr>
              <w:t xml:space="preserve">Application </w:t>
            </w:r>
            <w:r>
              <w:rPr>
                <w:rFonts w:ascii="Verdana" w:eastAsia="Calibri" w:hAnsi="Verdana"/>
                <w:sz w:val="20"/>
              </w:rPr>
              <w:t xml:space="preserve">and </w:t>
            </w:r>
            <w:r w:rsidRPr="00DE6D12">
              <w:rPr>
                <w:rFonts w:ascii="Verdana" w:eastAsia="Calibri" w:hAnsi="Verdana"/>
                <w:sz w:val="20"/>
              </w:rPr>
              <w:t>Interview</w:t>
            </w:r>
          </w:p>
        </w:tc>
      </w:tr>
      <w:tr w:rsidR="00BD4D8B" w:rsidRPr="00DE6D12" w14:paraId="508B65B1" w14:textId="77777777" w:rsidTr="00D41B90">
        <w:tc>
          <w:tcPr>
            <w:tcW w:w="7763" w:type="dxa"/>
            <w:shd w:val="clear" w:color="auto" w:fill="auto"/>
          </w:tcPr>
          <w:p w14:paraId="5CBFAC0E"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Budget management skills</w:t>
            </w:r>
          </w:p>
        </w:tc>
        <w:tc>
          <w:tcPr>
            <w:tcW w:w="1876" w:type="dxa"/>
            <w:shd w:val="clear" w:color="auto" w:fill="auto"/>
          </w:tcPr>
          <w:p w14:paraId="40387272" w14:textId="396EE160" w:rsidR="00BD4D8B" w:rsidRPr="00DE6D12" w:rsidRDefault="00BD4D8B" w:rsidP="002A043D">
            <w:pPr>
              <w:rPr>
                <w:rFonts w:ascii="Verdana" w:eastAsia="Calibri" w:hAnsi="Verdana"/>
                <w:sz w:val="20"/>
              </w:rPr>
            </w:pPr>
            <w:r w:rsidRPr="00DE6D12">
              <w:rPr>
                <w:rFonts w:ascii="Verdana" w:eastAsia="Calibri" w:hAnsi="Verdana"/>
                <w:sz w:val="20"/>
              </w:rPr>
              <w:t xml:space="preserve">Application </w:t>
            </w:r>
            <w:r w:rsidR="0032657C">
              <w:rPr>
                <w:rFonts w:ascii="Verdana" w:eastAsia="Calibri" w:hAnsi="Verdana"/>
                <w:sz w:val="20"/>
              </w:rPr>
              <w:t>and Interview</w:t>
            </w:r>
          </w:p>
        </w:tc>
      </w:tr>
      <w:tr w:rsidR="00BD4D8B" w:rsidRPr="00DE6D12" w14:paraId="1FECFB05" w14:textId="77777777" w:rsidTr="00D41B90">
        <w:tc>
          <w:tcPr>
            <w:tcW w:w="7763" w:type="dxa"/>
            <w:shd w:val="clear" w:color="auto" w:fill="auto"/>
          </w:tcPr>
          <w:p w14:paraId="0EC90ED2"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Understanding of the public sector duty and the inequality duty and their application to public health practice</w:t>
            </w:r>
          </w:p>
        </w:tc>
        <w:tc>
          <w:tcPr>
            <w:tcW w:w="1876" w:type="dxa"/>
            <w:shd w:val="clear" w:color="auto" w:fill="auto"/>
          </w:tcPr>
          <w:p w14:paraId="06AFC388" w14:textId="3C28A54C" w:rsidR="00BD4D8B" w:rsidRPr="00DE6D12" w:rsidRDefault="00A54E00" w:rsidP="002A043D">
            <w:pPr>
              <w:rPr>
                <w:rFonts w:ascii="Verdana" w:eastAsia="Calibri" w:hAnsi="Verdana"/>
                <w:sz w:val="20"/>
              </w:rPr>
            </w:pPr>
            <w:r w:rsidRPr="00DE6D12">
              <w:rPr>
                <w:rFonts w:ascii="Verdana" w:eastAsia="Calibri" w:hAnsi="Verdana"/>
                <w:sz w:val="20"/>
              </w:rPr>
              <w:t xml:space="preserve">Application </w:t>
            </w:r>
            <w:r>
              <w:rPr>
                <w:rFonts w:ascii="Verdana" w:eastAsia="Calibri" w:hAnsi="Verdana"/>
                <w:sz w:val="20"/>
              </w:rPr>
              <w:t xml:space="preserve">and </w:t>
            </w:r>
            <w:r w:rsidRPr="00DE6D12">
              <w:rPr>
                <w:rFonts w:ascii="Verdana" w:eastAsia="Calibri" w:hAnsi="Verdana"/>
                <w:sz w:val="20"/>
              </w:rPr>
              <w:t>Interview</w:t>
            </w:r>
          </w:p>
        </w:tc>
      </w:tr>
      <w:tr w:rsidR="00BD4D8B" w:rsidRPr="00DE6D12" w14:paraId="0C675085" w14:textId="77777777" w:rsidTr="00D41B90">
        <w:tc>
          <w:tcPr>
            <w:tcW w:w="7763" w:type="dxa"/>
            <w:shd w:val="clear" w:color="auto" w:fill="auto"/>
          </w:tcPr>
          <w:p w14:paraId="5BD2C0BE"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This position is subject to a criminal records disclosure check</w:t>
            </w:r>
          </w:p>
        </w:tc>
        <w:tc>
          <w:tcPr>
            <w:tcW w:w="1876" w:type="dxa"/>
            <w:shd w:val="clear" w:color="auto" w:fill="auto"/>
          </w:tcPr>
          <w:p w14:paraId="3F391855" w14:textId="77777777" w:rsidR="00BD4D8B" w:rsidRPr="00DE6D12" w:rsidRDefault="00BD4D8B" w:rsidP="002A043D">
            <w:pPr>
              <w:rPr>
                <w:rFonts w:ascii="Verdana" w:eastAsia="Calibri" w:hAnsi="Verdana"/>
                <w:b/>
                <w:sz w:val="20"/>
              </w:rPr>
            </w:pPr>
            <w:r w:rsidRPr="00DE6D12">
              <w:rPr>
                <w:rFonts w:ascii="Verdana" w:eastAsia="Calibri" w:hAnsi="Verdana"/>
                <w:b/>
                <w:sz w:val="20"/>
              </w:rPr>
              <w:t>YES</w:t>
            </w:r>
          </w:p>
        </w:tc>
      </w:tr>
      <w:tr w:rsidR="00790236" w:rsidRPr="00DE6D12" w14:paraId="02B03082" w14:textId="77777777" w:rsidTr="00D41B90">
        <w:tc>
          <w:tcPr>
            <w:tcW w:w="7763" w:type="dxa"/>
            <w:shd w:val="clear" w:color="auto" w:fill="auto"/>
          </w:tcPr>
          <w:p w14:paraId="19868905" w14:textId="5B466FB8" w:rsidR="00790236" w:rsidRPr="00DE6D12" w:rsidRDefault="00790236" w:rsidP="00BD4D8B">
            <w:pPr>
              <w:numPr>
                <w:ilvl w:val="0"/>
                <w:numId w:val="8"/>
              </w:numPr>
              <w:ind w:left="284" w:hanging="284"/>
              <w:contextualSpacing/>
              <w:rPr>
                <w:rFonts w:ascii="Verdana" w:eastAsia="Calibri" w:hAnsi="Verdana"/>
                <w:sz w:val="20"/>
              </w:rPr>
            </w:pPr>
            <w:r w:rsidRPr="00790236">
              <w:rPr>
                <w:rFonts w:ascii="Verdana" w:hAnsi="Verdana" w:cs="Arial"/>
                <w:sz w:val="22"/>
                <w:szCs w:val="22"/>
                <w:lang w:eastAsia="en-GB"/>
              </w:rPr>
              <w:t>To be a visible place leader within Cornwall, able to meet and engage with local communities as required out of office hours</w:t>
            </w:r>
          </w:p>
        </w:tc>
        <w:tc>
          <w:tcPr>
            <w:tcW w:w="1876" w:type="dxa"/>
            <w:shd w:val="clear" w:color="auto" w:fill="auto"/>
          </w:tcPr>
          <w:p w14:paraId="59433760" w14:textId="47AAE2E8" w:rsidR="00790236" w:rsidRPr="00DE6D12" w:rsidRDefault="00790236" w:rsidP="002A043D">
            <w:pPr>
              <w:rPr>
                <w:rFonts w:ascii="Verdana" w:eastAsia="Calibri" w:hAnsi="Verdana"/>
                <w:b/>
                <w:sz w:val="20"/>
              </w:rPr>
            </w:pPr>
            <w:r>
              <w:rPr>
                <w:rFonts w:ascii="Verdana" w:hAnsi="Verdana" w:cs="Arial"/>
                <w:b/>
                <w:sz w:val="20"/>
              </w:rPr>
              <w:t>YES</w:t>
            </w:r>
          </w:p>
        </w:tc>
      </w:tr>
      <w:tr w:rsidR="00BD4D8B" w:rsidRPr="00DE6D12" w14:paraId="1A810A23" w14:textId="77777777" w:rsidTr="00D41B90">
        <w:tc>
          <w:tcPr>
            <w:tcW w:w="7763" w:type="dxa"/>
            <w:shd w:val="clear" w:color="auto" w:fill="auto"/>
          </w:tcPr>
          <w:p w14:paraId="7288B769" w14:textId="77777777" w:rsidR="00BD4D8B" w:rsidRPr="00DE6D12" w:rsidRDefault="00BD4D8B" w:rsidP="00BD4D8B">
            <w:pPr>
              <w:numPr>
                <w:ilvl w:val="0"/>
                <w:numId w:val="8"/>
              </w:numPr>
              <w:ind w:left="284" w:hanging="284"/>
              <w:contextualSpacing/>
              <w:rPr>
                <w:rFonts w:ascii="Verdana" w:eastAsia="Calibri" w:hAnsi="Verdana"/>
                <w:sz w:val="20"/>
              </w:rPr>
            </w:pPr>
            <w:r w:rsidRPr="00DE6D12">
              <w:rPr>
                <w:rFonts w:ascii="Verdana" w:eastAsia="Calibri" w:hAnsi="Verdana"/>
                <w:sz w:val="20"/>
              </w:rPr>
              <w:t>This is a politically restrictive position</w:t>
            </w:r>
          </w:p>
        </w:tc>
        <w:tc>
          <w:tcPr>
            <w:tcW w:w="1876" w:type="dxa"/>
            <w:shd w:val="clear" w:color="auto" w:fill="auto"/>
          </w:tcPr>
          <w:p w14:paraId="01F120B9" w14:textId="77777777" w:rsidR="00BD4D8B" w:rsidRPr="00DE6D12" w:rsidRDefault="00BD4D8B" w:rsidP="002A043D">
            <w:pPr>
              <w:rPr>
                <w:rFonts w:ascii="Verdana" w:eastAsia="Calibri" w:hAnsi="Verdana"/>
                <w:b/>
                <w:sz w:val="20"/>
              </w:rPr>
            </w:pPr>
            <w:r w:rsidRPr="00DE6D12">
              <w:rPr>
                <w:rFonts w:ascii="Verdana" w:eastAsia="Calibri" w:hAnsi="Verdana"/>
                <w:b/>
                <w:sz w:val="20"/>
              </w:rPr>
              <w:t>YES</w:t>
            </w:r>
          </w:p>
        </w:tc>
      </w:tr>
    </w:tbl>
    <w:p w14:paraId="61475805" w14:textId="77777777" w:rsidR="00837084" w:rsidRDefault="00837084" w:rsidP="00BD4D8B">
      <w:pPr>
        <w:pStyle w:val="01BSCCParagraphbodystyle"/>
        <w:spacing w:after="0"/>
        <w:rPr>
          <w:sz w:val="20"/>
        </w:rPr>
      </w:pPr>
    </w:p>
    <w:tbl>
      <w:tblPr>
        <w:tblStyle w:val="TableGrid"/>
        <w:tblW w:w="0" w:type="auto"/>
        <w:tblLook w:val="04A0" w:firstRow="1" w:lastRow="0" w:firstColumn="1" w:lastColumn="0" w:noHBand="0" w:noVBand="1"/>
      </w:tblPr>
      <w:tblGrid>
        <w:gridCol w:w="7792"/>
        <w:gridCol w:w="1834"/>
      </w:tblGrid>
      <w:tr w:rsidR="00C66B86" w:rsidRPr="00C66B86" w14:paraId="3C3CC0E5" w14:textId="77777777" w:rsidTr="00C66B86">
        <w:tc>
          <w:tcPr>
            <w:tcW w:w="7792" w:type="dxa"/>
          </w:tcPr>
          <w:p w14:paraId="55500FB0" w14:textId="3F340F34" w:rsidR="00C66B86" w:rsidRDefault="00C66B86" w:rsidP="00C66B86">
            <w:pPr>
              <w:ind w:left="360"/>
              <w:rPr>
                <w:rFonts w:ascii="Verdana" w:hAnsi="Verdana" w:cs="Arial"/>
                <w:b/>
                <w:bCs/>
                <w:sz w:val="20"/>
                <w:lang w:eastAsia="en-US"/>
              </w:rPr>
            </w:pPr>
            <w:r w:rsidRPr="00C66B86">
              <w:rPr>
                <w:rFonts w:ascii="Verdana" w:hAnsi="Verdana" w:cs="Arial"/>
                <w:b/>
                <w:bCs/>
                <w:sz w:val="20"/>
                <w:lang w:eastAsia="en-US"/>
              </w:rPr>
              <w:t>The Director of Public Health should also be able to demonstrate proficiency in the following competencies as described by the Faculty of Public Health</w:t>
            </w:r>
            <w:r w:rsidR="00256462">
              <w:rPr>
                <w:rFonts w:ascii="Verdana" w:hAnsi="Verdana" w:cs="Arial"/>
                <w:b/>
                <w:bCs/>
                <w:sz w:val="20"/>
                <w:lang w:eastAsia="en-US"/>
              </w:rPr>
              <w:t>: competencies expected of all public health</w:t>
            </w:r>
            <w:r w:rsidR="006A32C3">
              <w:rPr>
                <w:rFonts w:ascii="Verdana" w:hAnsi="Verdana" w:cs="Arial"/>
                <w:b/>
                <w:bCs/>
                <w:sz w:val="20"/>
                <w:lang w:eastAsia="en-US"/>
              </w:rPr>
              <w:t xml:space="preserve"> consultants or specialists, including directors of public health </w:t>
            </w:r>
            <w:r w:rsidR="006A32C3" w:rsidRPr="00B67F39">
              <w:rPr>
                <w:rFonts w:ascii="Verdana" w:hAnsi="Verdana" w:cs="Arial"/>
                <w:sz w:val="20"/>
                <w:lang w:eastAsia="en-US"/>
              </w:rPr>
              <w:t>(based on the 2022 Specialty Training Curriculum)</w:t>
            </w:r>
          </w:p>
          <w:p w14:paraId="3A9AEFBA" w14:textId="731B04FC" w:rsidR="00256462" w:rsidRPr="00C66B86" w:rsidRDefault="00256462" w:rsidP="005567E6">
            <w:pPr>
              <w:ind w:left="360"/>
              <w:rPr>
                <w:rFonts w:ascii="Verdana" w:hAnsi="Verdana" w:cs="Arial"/>
                <w:sz w:val="20"/>
              </w:rPr>
            </w:pPr>
          </w:p>
        </w:tc>
        <w:tc>
          <w:tcPr>
            <w:tcW w:w="1834" w:type="dxa"/>
          </w:tcPr>
          <w:p w14:paraId="64EB9194" w14:textId="77777777" w:rsidR="00C66B86" w:rsidRPr="00C66B86" w:rsidRDefault="00C66B86" w:rsidP="00BD4D8B">
            <w:pPr>
              <w:pStyle w:val="01BSCCParagraphbodystyle"/>
              <w:spacing w:after="0"/>
            </w:pPr>
          </w:p>
        </w:tc>
      </w:tr>
      <w:tr w:rsidR="00C66B86" w:rsidRPr="00C66B86" w14:paraId="2D1A3BE3" w14:textId="77777777" w:rsidTr="00C66B86">
        <w:tc>
          <w:tcPr>
            <w:tcW w:w="7792" w:type="dxa"/>
          </w:tcPr>
          <w:p w14:paraId="58F30445"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I. Use of public health intelligence to survey and assess a population’s health and wellbeing</w:t>
            </w:r>
          </w:p>
          <w:p w14:paraId="7DF7B77C" w14:textId="77777777" w:rsidR="00C66B86" w:rsidRPr="00C66B86" w:rsidRDefault="00C66B86" w:rsidP="00C66B86">
            <w:pPr>
              <w:ind w:left="360"/>
              <w:rPr>
                <w:rFonts w:ascii="Verdana" w:hAnsi="Verdana" w:cs="Arial"/>
                <w:sz w:val="20"/>
              </w:rPr>
            </w:pPr>
          </w:p>
          <w:p w14:paraId="234709E2" w14:textId="77777777" w:rsidR="00C66B86" w:rsidRPr="00C66B86" w:rsidRDefault="00C66B86" w:rsidP="00C66B86">
            <w:pPr>
              <w:ind w:left="360"/>
              <w:rPr>
                <w:rFonts w:ascii="Verdana" w:hAnsi="Verdana" w:cs="Arial"/>
                <w:sz w:val="20"/>
              </w:rPr>
            </w:pPr>
            <w:r w:rsidRPr="00C66B86">
              <w:rPr>
                <w:rFonts w:ascii="Verdana" w:hAnsi="Verdana" w:cs="Arial"/>
                <w:sz w:val="20"/>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01C0DAC6" w14:textId="77777777" w:rsidR="00C66B86" w:rsidRPr="00C66B86" w:rsidRDefault="00C66B86" w:rsidP="00BD4D8B">
            <w:pPr>
              <w:pStyle w:val="01BSCCParagraphbodystyle"/>
              <w:spacing w:after="0"/>
            </w:pPr>
          </w:p>
        </w:tc>
        <w:tc>
          <w:tcPr>
            <w:tcW w:w="1834" w:type="dxa"/>
          </w:tcPr>
          <w:p w14:paraId="5E959FA4" w14:textId="5A6F1E46" w:rsidR="00C66B86" w:rsidRPr="00C66B86" w:rsidRDefault="00C66B86" w:rsidP="00BD4D8B">
            <w:pPr>
              <w:pStyle w:val="01BSCCParagraphbodystyle"/>
              <w:spacing w:after="0"/>
            </w:pPr>
            <w:r w:rsidRPr="00DE6D12">
              <w:rPr>
                <w:rFonts w:eastAsia="Calibri"/>
              </w:rPr>
              <w:t xml:space="preserve">Application </w:t>
            </w:r>
            <w:r>
              <w:rPr>
                <w:rFonts w:eastAsia="Calibri"/>
              </w:rPr>
              <w:t xml:space="preserve">and </w:t>
            </w:r>
            <w:r w:rsidRPr="00DE6D12">
              <w:rPr>
                <w:rFonts w:eastAsia="Calibri"/>
              </w:rPr>
              <w:t>Interview</w:t>
            </w:r>
          </w:p>
        </w:tc>
      </w:tr>
      <w:tr w:rsidR="00C66B86" w:rsidRPr="00C66B86" w14:paraId="50C1B125" w14:textId="77777777" w:rsidTr="00C66B86">
        <w:tc>
          <w:tcPr>
            <w:tcW w:w="7792" w:type="dxa"/>
          </w:tcPr>
          <w:p w14:paraId="18E47E12"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II. Assessing the evidence of effectiveness of interventions, programmes and services intended to improve the health or wellbeing of individuals or populations</w:t>
            </w:r>
          </w:p>
          <w:p w14:paraId="10C53E74" w14:textId="77777777" w:rsidR="00C66B86" w:rsidRPr="00C66B86" w:rsidRDefault="00C66B86" w:rsidP="00C66B86">
            <w:pPr>
              <w:ind w:left="360"/>
              <w:rPr>
                <w:rFonts w:ascii="Verdana" w:hAnsi="Verdana" w:cs="Arial"/>
                <w:sz w:val="20"/>
              </w:rPr>
            </w:pPr>
          </w:p>
          <w:p w14:paraId="79F995AD" w14:textId="77777777" w:rsidR="00C66B86" w:rsidRPr="00C66B86" w:rsidRDefault="00C66B86" w:rsidP="00C66B86">
            <w:pPr>
              <w:ind w:left="360"/>
              <w:rPr>
                <w:rFonts w:ascii="Verdana" w:hAnsi="Verdana" w:cs="Arial"/>
                <w:sz w:val="20"/>
              </w:rPr>
            </w:pPr>
            <w:r w:rsidRPr="00C66B86">
              <w:rPr>
                <w:rFonts w:ascii="Verdana" w:hAnsi="Verdana" w:cs="Arial"/>
                <w:sz w:val="20"/>
              </w:rPr>
              <w:t>To be able to use a range of resources to generate and communicate appropriately evidenced and informed recommendations for improving population health across operational and strategic health and care settings.</w:t>
            </w:r>
          </w:p>
          <w:p w14:paraId="62782DC2" w14:textId="77777777" w:rsidR="00C66B86" w:rsidRPr="00C66B86" w:rsidRDefault="00C66B86" w:rsidP="00BD4D8B">
            <w:pPr>
              <w:pStyle w:val="01BSCCParagraphbodystyle"/>
              <w:spacing w:after="0"/>
            </w:pPr>
          </w:p>
        </w:tc>
        <w:tc>
          <w:tcPr>
            <w:tcW w:w="1834" w:type="dxa"/>
          </w:tcPr>
          <w:p w14:paraId="37805174" w14:textId="73E939D2" w:rsidR="00C66B86" w:rsidRPr="00C66B86" w:rsidRDefault="00C66B86" w:rsidP="00BD4D8B">
            <w:pPr>
              <w:pStyle w:val="01BSCCParagraphbodystyle"/>
              <w:spacing w:after="0"/>
            </w:pPr>
            <w:r w:rsidRPr="00DE6D12">
              <w:rPr>
                <w:rFonts w:eastAsia="Calibri"/>
              </w:rPr>
              <w:t xml:space="preserve">Application </w:t>
            </w:r>
            <w:r>
              <w:rPr>
                <w:rFonts w:eastAsia="Calibri"/>
              </w:rPr>
              <w:t xml:space="preserve">and </w:t>
            </w:r>
            <w:r w:rsidRPr="00DE6D12">
              <w:rPr>
                <w:rFonts w:eastAsia="Calibri"/>
              </w:rPr>
              <w:t>Interview</w:t>
            </w:r>
          </w:p>
        </w:tc>
      </w:tr>
      <w:tr w:rsidR="00C66B86" w:rsidRPr="00C66B86" w14:paraId="2858C69B" w14:textId="77777777" w:rsidTr="00C66B86">
        <w:tc>
          <w:tcPr>
            <w:tcW w:w="7792" w:type="dxa"/>
          </w:tcPr>
          <w:p w14:paraId="6C35CEA1"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III. Policy and strategy development and implementation</w:t>
            </w:r>
          </w:p>
          <w:p w14:paraId="6744F39E" w14:textId="77777777" w:rsidR="00C66B86" w:rsidRPr="00C66B86" w:rsidRDefault="00C66B86" w:rsidP="00C66B86">
            <w:pPr>
              <w:ind w:left="360"/>
              <w:rPr>
                <w:rFonts w:ascii="Verdana" w:hAnsi="Verdana" w:cs="Arial"/>
                <w:sz w:val="20"/>
              </w:rPr>
            </w:pPr>
          </w:p>
          <w:p w14:paraId="5B42DB6C" w14:textId="77777777" w:rsidR="00C66B86" w:rsidRPr="00C66B86" w:rsidRDefault="00C66B86" w:rsidP="00C66B86">
            <w:pPr>
              <w:ind w:left="360"/>
              <w:rPr>
                <w:rFonts w:ascii="Verdana" w:hAnsi="Verdana" w:cs="Arial"/>
                <w:sz w:val="20"/>
              </w:rPr>
            </w:pPr>
            <w:r w:rsidRPr="00C66B86">
              <w:rPr>
                <w:rFonts w:ascii="Verdana" w:hAnsi="Verdana" w:cs="Arial"/>
                <w:sz w:val="20"/>
              </w:rPr>
              <w:lastRenderedPageBreak/>
              <w:t>To be able to influence and contribute to the development of policy and lead the development and implementation of a strategy.</w:t>
            </w:r>
          </w:p>
          <w:p w14:paraId="31B5C8C3" w14:textId="77777777" w:rsidR="00C66B86" w:rsidRPr="00C66B86" w:rsidRDefault="00C66B86" w:rsidP="00BD4D8B">
            <w:pPr>
              <w:pStyle w:val="01BSCCParagraphbodystyle"/>
              <w:spacing w:after="0"/>
            </w:pPr>
          </w:p>
        </w:tc>
        <w:tc>
          <w:tcPr>
            <w:tcW w:w="1834" w:type="dxa"/>
          </w:tcPr>
          <w:p w14:paraId="25E39F08" w14:textId="555C17B0" w:rsidR="00C66B86" w:rsidRPr="00C66B86" w:rsidRDefault="00C66B86" w:rsidP="00BD4D8B">
            <w:pPr>
              <w:pStyle w:val="01BSCCParagraphbodystyle"/>
              <w:spacing w:after="0"/>
            </w:pPr>
            <w:r w:rsidRPr="00DE6D12">
              <w:rPr>
                <w:rFonts w:eastAsia="Calibri"/>
              </w:rPr>
              <w:lastRenderedPageBreak/>
              <w:t xml:space="preserve">Application </w:t>
            </w:r>
            <w:r>
              <w:rPr>
                <w:rFonts w:eastAsia="Calibri"/>
              </w:rPr>
              <w:t xml:space="preserve">and </w:t>
            </w:r>
            <w:r w:rsidRPr="00DE6D12">
              <w:rPr>
                <w:rFonts w:eastAsia="Calibri"/>
              </w:rPr>
              <w:t>Interview</w:t>
            </w:r>
          </w:p>
        </w:tc>
      </w:tr>
      <w:tr w:rsidR="00C66B86" w:rsidRPr="00C66B86" w14:paraId="1E4549AC" w14:textId="77777777" w:rsidTr="00C66B86">
        <w:tc>
          <w:tcPr>
            <w:tcW w:w="7792" w:type="dxa"/>
          </w:tcPr>
          <w:p w14:paraId="671B14A2"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IV. Strategic leadership and collaborative working for health</w:t>
            </w:r>
          </w:p>
          <w:p w14:paraId="14F37E65" w14:textId="77777777" w:rsidR="00C66B86" w:rsidRPr="00C66B86" w:rsidRDefault="00C66B86" w:rsidP="00C66B86">
            <w:pPr>
              <w:ind w:left="360"/>
              <w:rPr>
                <w:rFonts w:ascii="Verdana" w:hAnsi="Verdana" w:cs="Arial"/>
                <w:sz w:val="20"/>
              </w:rPr>
            </w:pPr>
          </w:p>
          <w:p w14:paraId="70C7F3D5" w14:textId="4FAC2958" w:rsidR="00C66B86" w:rsidRPr="00C66B86" w:rsidRDefault="00C66B86" w:rsidP="00C66B86">
            <w:pPr>
              <w:ind w:left="360"/>
              <w:rPr>
                <w:rFonts w:ascii="Verdana" w:hAnsi="Verdana" w:cs="Arial"/>
                <w:sz w:val="20"/>
              </w:rPr>
            </w:pPr>
            <w:r w:rsidRPr="00C66B86">
              <w:rPr>
                <w:rFonts w:ascii="Verdana" w:hAnsi="Verdana" w:cs="Arial"/>
                <w:sz w:val="20"/>
              </w:rPr>
              <w:t>To use a range of effective strategic leadership, organisational and management skills, in a variety of complex public health situations and contexts, dealing effectively with uncertainty and the unexpected to achieve public health goals.</w:t>
            </w:r>
          </w:p>
        </w:tc>
        <w:tc>
          <w:tcPr>
            <w:tcW w:w="1834" w:type="dxa"/>
          </w:tcPr>
          <w:p w14:paraId="41E2362E" w14:textId="75C1EC9E" w:rsidR="00C66B86" w:rsidRPr="00C66B86" w:rsidRDefault="00C66B86" w:rsidP="00BD4D8B">
            <w:pPr>
              <w:pStyle w:val="01BSCCParagraphbodystyle"/>
              <w:spacing w:after="0"/>
            </w:pPr>
            <w:r w:rsidRPr="00DE6D12">
              <w:rPr>
                <w:rFonts w:eastAsia="Calibri"/>
              </w:rPr>
              <w:t xml:space="preserve">Application </w:t>
            </w:r>
            <w:r>
              <w:rPr>
                <w:rFonts w:eastAsia="Calibri"/>
              </w:rPr>
              <w:t xml:space="preserve">and </w:t>
            </w:r>
            <w:r w:rsidRPr="00DE6D12">
              <w:rPr>
                <w:rFonts w:eastAsia="Calibri"/>
              </w:rPr>
              <w:t>Interview</w:t>
            </w:r>
          </w:p>
        </w:tc>
      </w:tr>
      <w:tr w:rsidR="00C66B86" w:rsidRPr="00C66B86" w14:paraId="42EE3F42" w14:textId="77777777" w:rsidTr="00C66B86">
        <w:tc>
          <w:tcPr>
            <w:tcW w:w="7792" w:type="dxa"/>
          </w:tcPr>
          <w:p w14:paraId="33B0CD8A"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V. Health Improvement, Determinants of Health, and Health Communication</w:t>
            </w:r>
          </w:p>
          <w:p w14:paraId="20C9F044" w14:textId="77777777" w:rsidR="00C66B86" w:rsidRPr="00C66B86" w:rsidRDefault="00C66B86" w:rsidP="00C66B86">
            <w:pPr>
              <w:ind w:left="360"/>
              <w:rPr>
                <w:rFonts w:ascii="Verdana" w:hAnsi="Verdana" w:cs="Arial"/>
                <w:sz w:val="20"/>
              </w:rPr>
            </w:pPr>
          </w:p>
          <w:p w14:paraId="6327FF7C" w14:textId="1ABAF09C" w:rsidR="00C66B86" w:rsidRPr="00C66B86" w:rsidRDefault="00C66B86" w:rsidP="00C66B86">
            <w:pPr>
              <w:ind w:left="360"/>
              <w:rPr>
                <w:rFonts w:ascii="Verdana" w:hAnsi="Verdana" w:cs="Arial"/>
                <w:sz w:val="20"/>
              </w:rPr>
            </w:pPr>
            <w:r w:rsidRPr="00C66B86">
              <w:rPr>
                <w:rFonts w:ascii="Verdana" w:hAnsi="Verdana" w:cs="Arial"/>
                <w:sz w:val="20"/>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tc>
        <w:tc>
          <w:tcPr>
            <w:tcW w:w="1834" w:type="dxa"/>
          </w:tcPr>
          <w:p w14:paraId="10811423" w14:textId="49059214" w:rsidR="00C66B86" w:rsidRPr="00C66B86" w:rsidRDefault="00C66B86" w:rsidP="00BD4D8B">
            <w:pPr>
              <w:pStyle w:val="01BSCCParagraphbodystyle"/>
              <w:spacing w:after="0"/>
            </w:pPr>
            <w:r w:rsidRPr="00DE6D12">
              <w:rPr>
                <w:rFonts w:eastAsia="Calibri"/>
              </w:rPr>
              <w:t xml:space="preserve">Application </w:t>
            </w:r>
            <w:r>
              <w:rPr>
                <w:rFonts w:eastAsia="Calibri"/>
              </w:rPr>
              <w:t xml:space="preserve">and </w:t>
            </w:r>
            <w:r w:rsidRPr="00DE6D12">
              <w:rPr>
                <w:rFonts w:eastAsia="Calibri"/>
              </w:rPr>
              <w:t>Interview</w:t>
            </w:r>
          </w:p>
        </w:tc>
      </w:tr>
      <w:tr w:rsidR="00C66B86" w:rsidRPr="00C66B86" w14:paraId="449F7B18" w14:textId="77777777" w:rsidTr="00C66B86">
        <w:tc>
          <w:tcPr>
            <w:tcW w:w="7792" w:type="dxa"/>
          </w:tcPr>
          <w:p w14:paraId="3FA1E8B2"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VI. Health Protection</w:t>
            </w:r>
          </w:p>
          <w:p w14:paraId="4168C6A3" w14:textId="77777777" w:rsidR="00C66B86" w:rsidRPr="00C66B86" w:rsidRDefault="00C66B86" w:rsidP="00C66B86">
            <w:pPr>
              <w:ind w:left="360"/>
              <w:rPr>
                <w:rFonts w:ascii="Verdana" w:hAnsi="Verdana" w:cs="Arial"/>
                <w:sz w:val="20"/>
              </w:rPr>
            </w:pPr>
          </w:p>
          <w:p w14:paraId="48FD97D3" w14:textId="6B992A1D" w:rsidR="00C66B86" w:rsidRPr="00C66B86" w:rsidRDefault="00C66B86" w:rsidP="00C66B86">
            <w:pPr>
              <w:pStyle w:val="01BSCCParagraphbodystyle"/>
              <w:spacing w:after="0"/>
              <w:ind w:left="316"/>
            </w:pPr>
            <w:r w:rsidRPr="00C66B86">
              <w:rPr>
                <w:rFonts w:cs="Arial"/>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tc>
        <w:tc>
          <w:tcPr>
            <w:tcW w:w="1834" w:type="dxa"/>
          </w:tcPr>
          <w:p w14:paraId="43B6531E" w14:textId="2B9F640F" w:rsidR="00C66B86" w:rsidRPr="00C66B86" w:rsidRDefault="00C66B86" w:rsidP="00BD4D8B">
            <w:pPr>
              <w:pStyle w:val="01BSCCParagraphbodystyle"/>
              <w:spacing w:after="0"/>
            </w:pPr>
            <w:r w:rsidRPr="00DE6D12">
              <w:rPr>
                <w:rFonts w:eastAsia="Calibri"/>
              </w:rPr>
              <w:t xml:space="preserve">Application </w:t>
            </w:r>
            <w:r>
              <w:rPr>
                <w:rFonts w:eastAsia="Calibri"/>
              </w:rPr>
              <w:t xml:space="preserve">and </w:t>
            </w:r>
            <w:r w:rsidRPr="00DE6D12">
              <w:rPr>
                <w:rFonts w:eastAsia="Calibri"/>
              </w:rPr>
              <w:t>Interview</w:t>
            </w:r>
          </w:p>
        </w:tc>
      </w:tr>
      <w:tr w:rsidR="00C66B86" w:rsidRPr="00C66B86" w14:paraId="2161F5B9" w14:textId="77777777" w:rsidTr="00C66B86">
        <w:tc>
          <w:tcPr>
            <w:tcW w:w="7792" w:type="dxa"/>
          </w:tcPr>
          <w:p w14:paraId="1937C52C"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VII. Health and Care Public Health</w:t>
            </w:r>
          </w:p>
          <w:p w14:paraId="0B93EEF9" w14:textId="77777777" w:rsidR="00C66B86" w:rsidRPr="00C66B86" w:rsidRDefault="00C66B86" w:rsidP="00C66B86">
            <w:pPr>
              <w:ind w:left="360"/>
              <w:rPr>
                <w:rFonts w:ascii="Verdana" w:hAnsi="Verdana" w:cs="Arial"/>
                <w:sz w:val="20"/>
              </w:rPr>
            </w:pPr>
          </w:p>
          <w:p w14:paraId="45436C98" w14:textId="77777777" w:rsidR="00C66B86" w:rsidRPr="00C66B86" w:rsidRDefault="00C66B86" w:rsidP="00C66B86">
            <w:pPr>
              <w:ind w:left="360"/>
              <w:rPr>
                <w:rFonts w:ascii="Verdana" w:hAnsi="Verdana" w:cs="Arial"/>
                <w:sz w:val="20"/>
              </w:rPr>
            </w:pPr>
            <w:r w:rsidRPr="00C66B86">
              <w:rPr>
                <w:rFonts w:ascii="Verdana" w:hAnsi="Verdana" w:cs="Arial"/>
                <w:sz w:val="20"/>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35420F5A" w14:textId="77777777" w:rsidR="00C66B86" w:rsidRPr="00C66B86" w:rsidRDefault="00C66B86" w:rsidP="00BD4D8B">
            <w:pPr>
              <w:pStyle w:val="01BSCCParagraphbodystyle"/>
              <w:spacing w:after="0"/>
            </w:pPr>
          </w:p>
        </w:tc>
        <w:tc>
          <w:tcPr>
            <w:tcW w:w="1834" w:type="dxa"/>
          </w:tcPr>
          <w:p w14:paraId="4253BC0C" w14:textId="1CCE5444" w:rsidR="00C66B86" w:rsidRPr="00C66B86" w:rsidRDefault="00C66B86" w:rsidP="00BD4D8B">
            <w:pPr>
              <w:pStyle w:val="01BSCCParagraphbodystyle"/>
              <w:spacing w:after="0"/>
            </w:pPr>
            <w:r w:rsidRPr="00DE6D12">
              <w:rPr>
                <w:rFonts w:eastAsia="Calibri"/>
              </w:rPr>
              <w:t xml:space="preserve">Application </w:t>
            </w:r>
            <w:r>
              <w:rPr>
                <w:rFonts w:eastAsia="Calibri"/>
              </w:rPr>
              <w:t xml:space="preserve">and </w:t>
            </w:r>
            <w:r w:rsidRPr="00DE6D12">
              <w:rPr>
                <w:rFonts w:eastAsia="Calibri"/>
              </w:rPr>
              <w:t>Interview</w:t>
            </w:r>
          </w:p>
        </w:tc>
      </w:tr>
      <w:tr w:rsidR="00C66B86" w:rsidRPr="00C66B86" w14:paraId="0D670620" w14:textId="77777777" w:rsidTr="00C66B86">
        <w:tc>
          <w:tcPr>
            <w:tcW w:w="7792" w:type="dxa"/>
          </w:tcPr>
          <w:p w14:paraId="1D3DC8BB"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VIII. Academic public health</w:t>
            </w:r>
          </w:p>
          <w:p w14:paraId="664A5D83" w14:textId="77777777" w:rsidR="00C66B86" w:rsidRPr="00C66B86" w:rsidRDefault="00C66B86" w:rsidP="00C66B86">
            <w:pPr>
              <w:ind w:left="360"/>
              <w:rPr>
                <w:rFonts w:ascii="Verdana" w:hAnsi="Verdana" w:cs="Arial"/>
                <w:sz w:val="20"/>
              </w:rPr>
            </w:pPr>
          </w:p>
          <w:p w14:paraId="4DF2518A" w14:textId="77777777" w:rsidR="00C66B86" w:rsidRPr="00C66B86" w:rsidRDefault="00C66B86" w:rsidP="00C66B86">
            <w:pPr>
              <w:ind w:left="360"/>
              <w:rPr>
                <w:rFonts w:ascii="Verdana" w:hAnsi="Verdana" w:cs="Arial"/>
                <w:sz w:val="20"/>
              </w:rPr>
            </w:pPr>
            <w:r w:rsidRPr="00C66B86">
              <w:rPr>
                <w:rFonts w:ascii="Verdana" w:hAnsi="Verdana" w:cs="Arial"/>
                <w:sz w:val="20"/>
              </w:rPr>
              <w:t xml:space="preserve">To add an academic perspective to all public health work undertaken. </w:t>
            </w:r>
            <w:proofErr w:type="gramStart"/>
            <w:r w:rsidRPr="00C66B86">
              <w:rPr>
                <w:rFonts w:ascii="Verdana" w:hAnsi="Verdana" w:cs="Arial"/>
                <w:sz w:val="20"/>
              </w:rPr>
              <w:t>Specifically</w:t>
            </w:r>
            <w:proofErr w:type="gramEnd"/>
            <w:r w:rsidRPr="00C66B86">
              <w:rPr>
                <w:rFonts w:ascii="Verdana" w:hAnsi="Verdana" w:cs="Arial"/>
                <w:sz w:val="20"/>
              </w:rPr>
              <w:t xml:space="preserve"> to be able to critically appraise evidence to inform policy and practice, identify evidence gaps with strategies to address these gaps, undertake research activities of a standard that is publishable in peer</w:t>
            </w:r>
          </w:p>
          <w:p w14:paraId="642F0B00" w14:textId="77777777" w:rsidR="00C66B86" w:rsidRPr="00C66B86" w:rsidRDefault="00C66B86" w:rsidP="00C66B86">
            <w:pPr>
              <w:ind w:left="360"/>
              <w:rPr>
                <w:rFonts w:ascii="Verdana" w:hAnsi="Verdana" w:cs="Arial"/>
                <w:sz w:val="20"/>
              </w:rPr>
            </w:pPr>
          </w:p>
          <w:p w14:paraId="7BC5E01B" w14:textId="77777777" w:rsidR="00C66B86" w:rsidRPr="00C66B86" w:rsidRDefault="00C66B86" w:rsidP="00C66B86">
            <w:pPr>
              <w:ind w:left="360"/>
              <w:rPr>
                <w:rFonts w:ascii="Verdana" w:hAnsi="Verdana" w:cs="Arial"/>
                <w:sz w:val="20"/>
              </w:rPr>
            </w:pPr>
            <w:r w:rsidRPr="00C66B86">
              <w:rPr>
                <w:rFonts w:ascii="Verdana" w:hAnsi="Verdana" w:cs="Arial"/>
                <w:sz w:val="20"/>
              </w:rPr>
              <w:t xml:space="preserve">reviewed </w:t>
            </w:r>
            <w:proofErr w:type="gramStart"/>
            <w:r w:rsidRPr="00C66B86">
              <w:rPr>
                <w:rFonts w:ascii="Verdana" w:hAnsi="Verdana" w:cs="Arial"/>
                <w:sz w:val="20"/>
              </w:rPr>
              <w:t>journals, and</w:t>
            </w:r>
            <w:proofErr w:type="gramEnd"/>
            <w:r w:rsidRPr="00C66B86">
              <w:rPr>
                <w:rFonts w:ascii="Verdana" w:hAnsi="Verdana" w:cs="Arial"/>
                <w:sz w:val="20"/>
              </w:rPr>
              <w:t xml:space="preserve"> demonstrate competence in teaching and learning across all areas of public health practice.</w:t>
            </w:r>
          </w:p>
          <w:p w14:paraId="2DA0558A" w14:textId="77777777" w:rsidR="00C66B86" w:rsidRPr="00C66B86" w:rsidRDefault="00C66B86" w:rsidP="00BD4D8B">
            <w:pPr>
              <w:pStyle w:val="01BSCCParagraphbodystyle"/>
              <w:spacing w:after="0"/>
            </w:pPr>
          </w:p>
        </w:tc>
        <w:tc>
          <w:tcPr>
            <w:tcW w:w="1834" w:type="dxa"/>
          </w:tcPr>
          <w:p w14:paraId="7AFE6B4B" w14:textId="32836CC0" w:rsidR="00C66B86" w:rsidRPr="00C66B86" w:rsidRDefault="00C66B86" w:rsidP="00BD4D8B">
            <w:pPr>
              <w:pStyle w:val="01BSCCParagraphbodystyle"/>
              <w:spacing w:after="0"/>
            </w:pPr>
            <w:r w:rsidRPr="00DE6D12">
              <w:rPr>
                <w:rFonts w:eastAsia="Calibri"/>
              </w:rPr>
              <w:t xml:space="preserve">Application </w:t>
            </w:r>
            <w:r>
              <w:rPr>
                <w:rFonts w:eastAsia="Calibri"/>
              </w:rPr>
              <w:t xml:space="preserve">and </w:t>
            </w:r>
            <w:r w:rsidRPr="00DE6D12">
              <w:rPr>
                <w:rFonts w:eastAsia="Calibri"/>
              </w:rPr>
              <w:t>Interview</w:t>
            </w:r>
          </w:p>
        </w:tc>
      </w:tr>
      <w:tr w:rsidR="00C66B86" w:rsidRPr="00C66B86" w14:paraId="4776B4B8" w14:textId="77777777" w:rsidTr="00C66B86">
        <w:tc>
          <w:tcPr>
            <w:tcW w:w="7792" w:type="dxa"/>
          </w:tcPr>
          <w:p w14:paraId="18B814E4"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IX. Professional, personal and ethical development</w:t>
            </w:r>
          </w:p>
          <w:p w14:paraId="6906388E" w14:textId="77777777" w:rsidR="00C66B86" w:rsidRPr="00C66B86" w:rsidRDefault="00C66B86" w:rsidP="00C66B86">
            <w:pPr>
              <w:ind w:left="360"/>
              <w:rPr>
                <w:rFonts w:ascii="Verdana" w:hAnsi="Verdana" w:cs="Arial"/>
                <w:sz w:val="20"/>
              </w:rPr>
            </w:pPr>
          </w:p>
          <w:p w14:paraId="2EB49599" w14:textId="77777777" w:rsidR="00C66B86" w:rsidRPr="00C66B86" w:rsidRDefault="00C66B86" w:rsidP="00C66B86">
            <w:pPr>
              <w:ind w:left="360"/>
              <w:rPr>
                <w:rFonts w:ascii="Verdana" w:hAnsi="Verdana" w:cs="Arial"/>
                <w:sz w:val="20"/>
              </w:rPr>
            </w:pPr>
            <w:r w:rsidRPr="00C66B86">
              <w:rPr>
                <w:rFonts w:ascii="Verdana" w:hAnsi="Verdana" w:cs="Arial"/>
                <w:sz w:val="20"/>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14:paraId="15A4AF51" w14:textId="77777777" w:rsidR="00C66B86" w:rsidRPr="00C66B86" w:rsidRDefault="00C66B86" w:rsidP="00BD4D8B">
            <w:pPr>
              <w:pStyle w:val="01BSCCParagraphbodystyle"/>
              <w:spacing w:after="0"/>
            </w:pPr>
          </w:p>
        </w:tc>
        <w:tc>
          <w:tcPr>
            <w:tcW w:w="1834" w:type="dxa"/>
          </w:tcPr>
          <w:p w14:paraId="69E669D3" w14:textId="76EFD67E" w:rsidR="00C66B86" w:rsidRPr="00C66B86" w:rsidRDefault="00C66B86" w:rsidP="00BD4D8B">
            <w:pPr>
              <w:pStyle w:val="01BSCCParagraphbodystyle"/>
              <w:spacing w:after="0"/>
            </w:pPr>
            <w:r w:rsidRPr="00DE6D12">
              <w:rPr>
                <w:rFonts w:eastAsia="Calibri"/>
              </w:rPr>
              <w:t xml:space="preserve">Application </w:t>
            </w:r>
            <w:r>
              <w:rPr>
                <w:rFonts w:eastAsia="Calibri"/>
              </w:rPr>
              <w:t xml:space="preserve">and </w:t>
            </w:r>
            <w:r w:rsidRPr="00DE6D12">
              <w:rPr>
                <w:rFonts w:eastAsia="Calibri"/>
              </w:rPr>
              <w:t>Interview</w:t>
            </w:r>
          </w:p>
        </w:tc>
      </w:tr>
      <w:tr w:rsidR="00C66B86" w:rsidRPr="00C66B86" w14:paraId="574D4FA6" w14:textId="77777777" w:rsidTr="00C66B86">
        <w:tc>
          <w:tcPr>
            <w:tcW w:w="7792" w:type="dxa"/>
          </w:tcPr>
          <w:p w14:paraId="2D5AA305" w14:textId="77777777" w:rsidR="00C66B86" w:rsidRPr="00C66B86" w:rsidRDefault="00C66B86" w:rsidP="00C66B86">
            <w:pPr>
              <w:ind w:left="360"/>
              <w:rPr>
                <w:rFonts w:ascii="Verdana" w:hAnsi="Verdana" w:cs="Arial"/>
                <w:b/>
                <w:bCs/>
                <w:sz w:val="20"/>
              </w:rPr>
            </w:pPr>
            <w:r w:rsidRPr="00C66B86">
              <w:rPr>
                <w:rFonts w:ascii="Verdana" w:hAnsi="Verdana" w:cs="Arial"/>
                <w:b/>
                <w:bCs/>
                <w:sz w:val="20"/>
              </w:rPr>
              <w:t>X. 10. Integration and application for consultant practice</w:t>
            </w:r>
          </w:p>
          <w:p w14:paraId="092CB409" w14:textId="77777777" w:rsidR="00C66B86" w:rsidRPr="00C66B86" w:rsidRDefault="00C66B86" w:rsidP="00C66B86">
            <w:pPr>
              <w:ind w:left="360"/>
              <w:rPr>
                <w:rFonts w:ascii="Verdana" w:hAnsi="Verdana" w:cs="Arial"/>
                <w:sz w:val="20"/>
              </w:rPr>
            </w:pPr>
          </w:p>
          <w:p w14:paraId="1303801C" w14:textId="77777777" w:rsidR="00C66B86" w:rsidRPr="00C66B86" w:rsidRDefault="00C66B86" w:rsidP="00C66B86">
            <w:pPr>
              <w:ind w:left="360"/>
              <w:rPr>
                <w:rFonts w:ascii="Verdana" w:hAnsi="Verdana" w:cs="Arial"/>
                <w:sz w:val="20"/>
              </w:rPr>
            </w:pPr>
            <w:r w:rsidRPr="00C66B86">
              <w:rPr>
                <w:rFonts w:ascii="Verdana" w:hAnsi="Verdana" w:cs="Arial"/>
                <w:sz w:val="20"/>
              </w:rPr>
              <w:t xml:space="preserve">To be able to demonstrate the consistent use of sound judgment to select from a range of advanced public health expertise and skills, and </w:t>
            </w:r>
            <w:r w:rsidRPr="00C66B86">
              <w:rPr>
                <w:rFonts w:ascii="Verdana" w:hAnsi="Verdana" w:cs="Arial"/>
                <w:sz w:val="20"/>
              </w:rPr>
              <w:lastRenderedPageBreak/>
              <w:t>to use them effectively, working at senior organisational levels, to deliver improved population health in complex and unpredictable environments.</w:t>
            </w:r>
          </w:p>
          <w:p w14:paraId="0856668D" w14:textId="77777777" w:rsidR="00C66B86" w:rsidRPr="00C66B86" w:rsidRDefault="00C66B86" w:rsidP="00C66B86">
            <w:pPr>
              <w:ind w:left="360"/>
              <w:rPr>
                <w:rFonts w:ascii="Verdana" w:hAnsi="Verdana" w:cs="Arial"/>
                <w:sz w:val="20"/>
              </w:rPr>
            </w:pPr>
          </w:p>
          <w:p w14:paraId="75A8E16C" w14:textId="77777777" w:rsidR="00C66B86" w:rsidRPr="00C66B86" w:rsidRDefault="00C66B86" w:rsidP="00C66B86">
            <w:pPr>
              <w:ind w:left="360"/>
              <w:rPr>
                <w:rFonts w:ascii="Verdana" w:hAnsi="Verdana" w:cs="Arial"/>
                <w:sz w:val="20"/>
              </w:rPr>
            </w:pPr>
            <w:r w:rsidRPr="00C66B86">
              <w:rPr>
                <w:rFonts w:ascii="Verdana" w:hAnsi="Verdana" w:cs="Arial"/>
                <w:sz w:val="20"/>
              </w:rPr>
              <w:t>The DPH as a public health leader is expected to have both the technical expertise as well as the ability to use those techniques to both, lead and support the development of complex solutions to improve the health and wellbeing of local communities. In addition, they are expected to have skills and the attitudes to be able to present the results of applying their technical expertise so that they are understandable and stimulate actions by a range of individuals and organisations</w:t>
            </w:r>
          </w:p>
          <w:p w14:paraId="1BCBDDEC" w14:textId="77777777" w:rsidR="00C66B86" w:rsidRPr="00C66B86" w:rsidRDefault="00C66B86" w:rsidP="00BD4D8B">
            <w:pPr>
              <w:pStyle w:val="01BSCCParagraphbodystyle"/>
              <w:spacing w:after="0"/>
            </w:pPr>
          </w:p>
        </w:tc>
        <w:tc>
          <w:tcPr>
            <w:tcW w:w="1834" w:type="dxa"/>
          </w:tcPr>
          <w:p w14:paraId="770D60F3" w14:textId="6A048A52" w:rsidR="00C66B86" w:rsidRPr="00C66B86" w:rsidRDefault="00C66B86" w:rsidP="00BD4D8B">
            <w:pPr>
              <w:pStyle w:val="01BSCCParagraphbodystyle"/>
              <w:spacing w:after="0"/>
            </w:pPr>
            <w:r w:rsidRPr="00DE6D12">
              <w:rPr>
                <w:rFonts w:eastAsia="Calibri"/>
              </w:rPr>
              <w:lastRenderedPageBreak/>
              <w:t xml:space="preserve">Application </w:t>
            </w:r>
            <w:r>
              <w:rPr>
                <w:rFonts w:eastAsia="Calibri"/>
              </w:rPr>
              <w:t xml:space="preserve">and </w:t>
            </w:r>
            <w:r w:rsidRPr="00DE6D12">
              <w:rPr>
                <w:rFonts w:eastAsia="Calibri"/>
              </w:rPr>
              <w:t>Interview</w:t>
            </w:r>
          </w:p>
        </w:tc>
      </w:tr>
    </w:tbl>
    <w:p w14:paraId="6FCEB341" w14:textId="77777777" w:rsidR="00C66B86" w:rsidRPr="00C66B86" w:rsidRDefault="00C66B86" w:rsidP="00BD4D8B">
      <w:pPr>
        <w:pStyle w:val="01BSCCParagraphbodystyle"/>
        <w:spacing w:after="0"/>
        <w:rPr>
          <w:sz w:val="20"/>
        </w:rPr>
      </w:pPr>
    </w:p>
    <w:p w14:paraId="42981B8D" w14:textId="77777777" w:rsidR="00C66B86" w:rsidRDefault="00C66B86" w:rsidP="00BD4D8B">
      <w:pPr>
        <w:pStyle w:val="01BSCCParagraphbodystyle"/>
        <w:spacing w:after="0"/>
        <w:rPr>
          <w:sz w:val="20"/>
        </w:rPr>
      </w:pPr>
    </w:p>
    <w:p w14:paraId="3E475F7E" w14:textId="77777777" w:rsidR="00C66B86" w:rsidRDefault="00C66B86" w:rsidP="00BD4D8B">
      <w:pPr>
        <w:pStyle w:val="01BSCCParagraphbodystyle"/>
        <w:spacing w:after="0"/>
        <w:rPr>
          <w:sz w:val="20"/>
        </w:rPr>
      </w:pPr>
    </w:p>
    <w:tbl>
      <w:tblPr>
        <w:tblStyle w:val="TableGrid"/>
        <w:tblW w:w="9634" w:type="dxa"/>
        <w:tblLook w:val="01E0" w:firstRow="1" w:lastRow="1" w:firstColumn="1" w:lastColumn="1" w:noHBand="0" w:noVBand="0"/>
      </w:tblPr>
      <w:tblGrid>
        <w:gridCol w:w="9634"/>
      </w:tblGrid>
      <w:tr w:rsidR="004F6B44" w:rsidRPr="0071200F" w14:paraId="2B713610" w14:textId="77777777" w:rsidTr="00063351">
        <w:trPr>
          <w:trHeight w:val="376"/>
        </w:trPr>
        <w:tc>
          <w:tcPr>
            <w:tcW w:w="9634" w:type="dxa"/>
            <w:tcMar>
              <w:top w:w="28" w:type="dxa"/>
              <w:bottom w:w="28" w:type="dxa"/>
            </w:tcMar>
            <w:vAlign w:val="center"/>
          </w:tcPr>
          <w:p w14:paraId="4246A693" w14:textId="77777777" w:rsidR="004F6B44" w:rsidRPr="001840C0" w:rsidRDefault="004F6B44" w:rsidP="002A043D">
            <w:pPr>
              <w:spacing w:line="276" w:lineRule="auto"/>
              <w:rPr>
                <w:rFonts w:ascii="Verdana" w:hAnsi="Verdana" w:cs="Arial"/>
                <w:b/>
                <w:sz w:val="20"/>
              </w:rPr>
            </w:pPr>
            <w:r w:rsidRPr="004B2714">
              <w:rPr>
                <w:rFonts w:ascii="Verdana" w:hAnsi="Verdana"/>
                <w:sz w:val="22"/>
                <w:szCs w:val="22"/>
              </w:rPr>
              <w:t xml:space="preserve">It is a condition of employment that the role holder can exercise satisfactory travel mobility </w:t>
            </w:r>
            <w:proofErr w:type="gramStart"/>
            <w:r w:rsidRPr="004B2714">
              <w:rPr>
                <w:rFonts w:ascii="Verdana" w:hAnsi="Verdana"/>
                <w:sz w:val="22"/>
                <w:szCs w:val="22"/>
              </w:rPr>
              <w:t>in order to</w:t>
            </w:r>
            <w:proofErr w:type="gramEnd"/>
            <w:r w:rsidRPr="004B2714">
              <w:rPr>
                <w:rFonts w:ascii="Verdana" w:hAnsi="Verdana"/>
                <w:sz w:val="22"/>
                <w:szCs w:val="22"/>
              </w:rPr>
              <w:t xml:space="preserve"> fulfil the obligations of the role. For those journeys where an alternative form of transport is unavailable or impracticable the role holder will be required to provide a suitable vehicle</w:t>
            </w:r>
          </w:p>
        </w:tc>
      </w:tr>
    </w:tbl>
    <w:p w14:paraId="4E0F76A0" w14:textId="77777777" w:rsidR="004F6B44" w:rsidRPr="00DE6D12" w:rsidRDefault="004F6B44" w:rsidP="00BD4D8B">
      <w:pPr>
        <w:pStyle w:val="01BSCCParagraphbodystyle"/>
        <w:spacing w:after="0"/>
        <w:rPr>
          <w:sz w:val="20"/>
        </w:rPr>
      </w:pPr>
    </w:p>
    <w:sectPr w:rsidR="004F6B44" w:rsidRPr="00DE6D12" w:rsidSect="00C605EE">
      <w:headerReference w:type="even" r:id="rId8"/>
      <w:headerReference w:type="default" r:id="rId9"/>
      <w:footerReference w:type="default" r:id="rId10"/>
      <w:headerReference w:type="first" r:id="rId11"/>
      <w:pgSz w:w="11904" w:h="16834" w:code="9"/>
      <w:pgMar w:top="1236" w:right="1134" w:bottom="1361" w:left="1134" w:header="45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43BA" w14:textId="77777777" w:rsidR="00286C6F" w:rsidRDefault="00286C6F" w:rsidP="00D46C6F">
      <w:r>
        <w:separator/>
      </w:r>
    </w:p>
  </w:endnote>
  <w:endnote w:type="continuationSeparator" w:id="0">
    <w:p w14:paraId="382DF337" w14:textId="77777777" w:rsidR="00286C6F" w:rsidRDefault="00286C6F" w:rsidP="00D4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D388" w14:textId="77777777" w:rsidR="008124C4" w:rsidRDefault="008124C4" w:rsidP="00BE2D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2ED6C8" w14:textId="77777777" w:rsidR="008124C4" w:rsidRPr="00283A28" w:rsidRDefault="008124C4" w:rsidP="001179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D895" w14:textId="77777777" w:rsidR="00286C6F" w:rsidRDefault="00286C6F" w:rsidP="00D46C6F">
      <w:r>
        <w:separator/>
      </w:r>
    </w:p>
  </w:footnote>
  <w:footnote w:type="continuationSeparator" w:id="0">
    <w:p w14:paraId="2E69660B" w14:textId="77777777" w:rsidR="00286C6F" w:rsidRDefault="00286C6F" w:rsidP="00D4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B145" w14:textId="0DF99FD8" w:rsidR="00D46C6F" w:rsidRDefault="00D46C6F">
    <w:pPr>
      <w:pStyle w:val="Header"/>
    </w:pPr>
    <w:r>
      <w:rPr>
        <w:noProof/>
        <w14:ligatures w14:val="standardContextual"/>
      </w:rPr>
      <mc:AlternateContent>
        <mc:Choice Requires="wps">
          <w:drawing>
            <wp:anchor distT="0" distB="0" distL="0" distR="0" simplePos="0" relativeHeight="251659264" behindDoc="0" locked="0" layoutInCell="1" allowOverlap="1" wp14:anchorId="3C75DA0A" wp14:editId="433B7F08">
              <wp:simplePos x="635" y="635"/>
              <wp:positionH relativeFrom="page">
                <wp:align>right</wp:align>
              </wp:positionH>
              <wp:positionV relativeFrom="page">
                <wp:align>top</wp:align>
              </wp:positionV>
              <wp:extent cx="443865" cy="443865"/>
              <wp:effectExtent l="0" t="0" r="0" b="16510"/>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2C21D" w14:textId="6F2DBB5B" w:rsidR="00D46C6F" w:rsidRPr="00D46C6F" w:rsidRDefault="00D46C6F" w:rsidP="00D46C6F">
                          <w:pPr>
                            <w:rPr>
                              <w:rFonts w:ascii="Calibri" w:eastAsia="Calibri" w:hAnsi="Calibri" w:cs="Calibri"/>
                              <w:noProof/>
                              <w:color w:val="FF8C00"/>
                              <w:sz w:val="20"/>
                            </w:rPr>
                          </w:pPr>
                          <w:r w:rsidRPr="00D46C6F">
                            <w:rPr>
                              <w:rFonts w:ascii="Calibri" w:eastAsia="Calibri" w:hAnsi="Calibri" w:cs="Calibri"/>
                              <w:noProof/>
                              <w:color w:val="FF8C00"/>
                              <w:sz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75DA0A" id="_x0000_t202" coordsize="21600,21600" o:spt="202" path="m,l,21600r21600,l21600,xe">
              <v:stroke joinstyle="miter"/>
              <v:path gradientshapeok="t" o:connecttype="rect"/>
            </v:shapetype>
            <v:shape id="Text Box 3" o:spid="_x0000_s1026" type="#_x0000_t202" alt="Information Classification: CONTROLL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E92C21D" w14:textId="6F2DBB5B" w:rsidR="00D46C6F" w:rsidRPr="00D46C6F" w:rsidRDefault="00D46C6F" w:rsidP="00D46C6F">
                    <w:pPr>
                      <w:rPr>
                        <w:rFonts w:ascii="Calibri" w:eastAsia="Calibri" w:hAnsi="Calibri" w:cs="Calibri"/>
                        <w:noProof/>
                        <w:color w:val="FF8C00"/>
                        <w:sz w:val="20"/>
                      </w:rPr>
                    </w:pPr>
                    <w:r w:rsidRPr="00D46C6F">
                      <w:rPr>
                        <w:rFonts w:ascii="Calibri" w:eastAsia="Calibri" w:hAnsi="Calibri" w:cs="Calibri"/>
                        <w:noProof/>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6F65" w14:textId="7C96C347" w:rsidR="008124C4" w:rsidRDefault="00D46C6F">
    <w:pPr>
      <w:pStyle w:val="Header"/>
    </w:pPr>
    <w:r>
      <w:rPr>
        <w:noProof/>
        <w14:ligatures w14:val="standardContextual"/>
      </w:rPr>
      <mc:AlternateContent>
        <mc:Choice Requires="wps">
          <w:drawing>
            <wp:anchor distT="0" distB="0" distL="0" distR="0" simplePos="0" relativeHeight="251660288" behindDoc="0" locked="0" layoutInCell="1" allowOverlap="1" wp14:anchorId="3ECE882F" wp14:editId="05A4C7FD">
              <wp:simplePos x="719328" y="286512"/>
              <wp:positionH relativeFrom="page">
                <wp:align>right</wp:align>
              </wp:positionH>
              <wp:positionV relativeFrom="page">
                <wp:align>top</wp:align>
              </wp:positionV>
              <wp:extent cx="443865" cy="443865"/>
              <wp:effectExtent l="0" t="0" r="0" b="16510"/>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76828" w14:textId="53A3B307" w:rsidR="00D46C6F" w:rsidRPr="00D46C6F" w:rsidRDefault="00D46C6F" w:rsidP="00D46C6F">
                          <w:pPr>
                            <w:rPr>
                              <w:rFonts w:ascii="Calibri" w:eastAsia="Calibri" w:hAnsi="Calibri" w:cs="Calibri"/>
                              <w:noProof/>
                              <w:color w:val="FF8C00"/>
                              <w:sz w:val="20"/>
                            </w:rPr>
                          </w:pPr>
                          <w:r w:rsidRPr="00D46C6F">
                            <w:rPr>
                              <w:rFonts w:ascii="Calibri" w:eastAsia="Calibri" w:hAnsi="Calibri" w:cs="Calibri"/>
                              <w:noProof/>
                              <w:color w:val="FF8C00"/>
                              <w:sz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CE882F" id="_x0000_t202" coordsize="21600,21600" o:spt="202" path="m,l,21600r21600,l21600,xe">
              <v:stroke joinstyle="miter"/>
              <v:path gradientshapeok="t" o:connecttype="rect"/>
            </v:shapetype>
            <v:shape id="Text Box 4" o:spid="_x0000_s1027" type="#_x0000_t202" alt="Information Classification: CONTROLLED"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7376828" w14:textId="53A3B307" w:rsidR="00D46C6F" w:rsidRPr="00D46C6F" w:rsidRDefault="00D46C6F" w:rsidP="00D46C6F">
                    <w:pPr>
                      <w:rPr>
                        <w:rFonts w:ascii="Calibri" w:eastAsia="Calibri" w:hAnsi="Calibri" w:cs="Calibri"/>
                        <w:noProof/>
                        <w:color w:val="FF8C00"/>
                        <w:sz w:val="20"/>
                      </w:rPr>
                    </w:pPr>
                    <w:r w:rsidRPr="00D46C6F">
                      <w:rPr>
                        <w:rFonts w:ascii="Calibri" w:eastAsia="Calibri" w:hAnsi="Calibri" w:cs="Calibri"/>
                        <w:noProof/>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761B" w14:textId="3FEB9C7F" w:rsidR="00D46C6F" w:rsidRDefault="00D46C6F">
    <w:pPr>
      <w:pStyle w:val="Header"/>
    </w:pPr>
    <w:r>
      <w:rPr>
        <w:noProof/>
        <w14:ligatures w14:val="standardContextual"/>
      </w:rPr>
      <mc:AlternateContent>
        <mc:Choice Requires="wps">
          <w:drawing>
            <wp:anchor distT="0" distB="0" distL="0" distR="0" simplePos="0" relativeHeight="251658240" behindDoc="0" locked="0" layoutInCell="1" allowOverlap="1" wp14:anchorId="4CDF8BF4" wp14:editId="3308C9D1">
              <wp:simplePos x="635" y="635"/>
              <wp:positionH relativeFrom="page">
                <wp:align>right</wp:align>
              </wp:positionH>
              <wp:positionV relativeFrom="page">
                <wp:align>top</wp:align>
              </wp:positionV>
              <wp:extent cx="443865" cy="443865"/>
              <wp:effectExtent l="0" t="0" r="0" b="16510"/>
              <wp:wrapNone/>
              <wp:docPr id="2"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56D1D" w14:textId="6177DC02" w:rsidR="00D46C6F" w:rsidRPr="00D46C6F" w:rsidRDefault="00D46C6F" w:rsidP="00D46C6F">
                          <w:pPr>
                            <w:rPr>
                              <w:rFonts w:ascii="Calibri" w:eastAsia="Calibri" w:hAnsi="Calibri" w:cs="Calibri"/>
                              <w:noProof/>
                              <w:color w:val="FF8C00"/>
                              <w:sz w:val="20"/>
                            </w:rPr>
                          </w:pPr>
                          <w:r w:rsidRPr="00D46C6F">
                            <w:rPr>
                              <w:rFonts w:ascii="Calibri" w:eastAsia="Calibri" w:hAnsi="Calibri" w:cs="Calibri"/>
                              <w:noProof/>
                              <w:color w:val="FF8C00"/>
                              <w:sz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DF8BF4" id="_x0000_t202" coordsize="21600,21600" o:spt="202" path="m,l,21600r21600,l21600,xe">
              <v:stroke joinstyle="miter"/>
              <v:path gradientshapeok="t" o:connecttype="rect"/>
            </v:shapetype>
            <v:shape id="Text Box 2" o:spid="_x0000_s1028" type="#_x0000_t202" alt="Information Classification: CONTROLL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B456D1D" w14:textId="6177DC02" w:rsidR="00D46C6F" w:rsidRPr="00D46C6F" w:rsidRDefault="00D46C6F" w:rsidP="00D46C6F">
                    <w:pPr>
                      <w:rPr>
                        <w:rFonts w:ascii="Calibri" w:eastAsia="Calibri" w:hAnsi="Calibri" w:cs="Calibri"/>
                        <w:noProof/>
                        <w:color w:val="FF8C00"/>
                        <w:sz w:val="20"/>
                      </w:rPr>
                    </w:pPr>
                    <w:r w:rsidRPr="00D46C6F">
                      <w:rPr>
                        <w:rFonts w:ascii="Calibri" w:eastAsia="Calibri" w:hAnsi="Calibri" w:cs="Calibri"/>
                        <w:noProof/>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1713"/>
    <w:multiLevelType w:val="hybridMultilevel"/>
    <w:tmpl w:val="EF7C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519D"/>
    <w:multiLevelType w:val="hybridMultilevel"/>
    <w:tmpl w:val="30BAB2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905161"/>
    <w:multiLevelType w:val="hybridMultilevel"/>
    <w:tmpl w:val="9E302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1C36C4"/>
    <w:multiLevelType w:val="multilevel"/>
    <w:tmpl w:val="683E7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ED36FB"/>
    <w:multiLevelType w:val="hybridMultilevel"/>
    <w:tmpl w:val="D392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259C0"/>
    <w:multiLevelType w:val="hybridMultilevel"/>
    <w:tmpl w:val="1772B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EE1830"/>
    <w:multiLevelType w:val="hybridMultilevel"/>
    <w:tmpl w:val="23280B4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FDD7D8B"/>
    <w:multiLevelType w:val="hybridMultilevel"/>
    <w:tmpl w:val="35D6A2B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E3B0DC9"/>
    <w:multiLevelType w:val="hybridMultilevel"/>
    <w:tmpl w:val="27B6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7A5DA8"/>
    <w:multiLevelType w:val="hybridMultilevel"/>
    <w:tmpl w:val="821CE46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8F46C3C"/>
    <w:multiLevelType w:val="hybridMultilevel"/>
    <w:tmpl w:val="27487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36922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84165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4788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929979">
    <w:abstractNumId w:val="3"/>
  </w:num>
  <w:num w:numId="5" w16cid:durableId="630596694">
    <w:abstractNumId w:val="6"/>
  </w:num>
  <w:num w:numId="6" w16cid:durableId="1545631354">
    <w:abstractNumId w:val="8"/>
  </w:num>
  <w:num w:numId="7" w16cid:durableId="129326770">
    <w:abstractNumId w:val="5"/>
  </w:num>
  <w:num w:numId="8" w16cid:durableId="969551315">
    <w:abstractNumId w:val="1"/>
  </w:num>
  <w:num w:numId="9" w16cid:durableId="179972909">
    <w:abstractNumId w:val="0"/>
  </w:num>
  <w:num w:numId="10" w16cid:durableId="574708045">
    <w:abstractNumId w:val="2"/>
  </w:num>
  <w:num w:numId="11" w16cid:durableId="454300035">
    <w:abstractNumId w:val="10"/>
  </w:num>
  <w:num w:numId="12" w16cid:durableId="165741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85"/>
    <w:rsid w:val="00063351"/>
    <w:rsid w:val="000F039D"/>
    <w:rsid w:val="0012428C"/>
    <w:rsid w:val="001B4BE5"/>
    <w:rsid w:val="00256462"/>
    <w:rsid w:val="002738B5"/>
    <w:rsid w:val="00286C6F"/>
    <w:rsid w:val="002B73FB"/>
    <w:rsid w:val="002D65EA"/>
    <w:rsid w:val="002E2293"/>
    <w:rsid w:val="002E4D44"/>
    <w:rsid w:val="002E5CD1"/>
    <w:rsid w:val="0032657C"/>
    <w:rsid w:val="00347FB3"/>
    <w:rsid w:val="00381B67"/>
    <w:rsid w:val="004137FF"/>
    <w:rsid w:val="00423462"/>
    <w:rsid w:val="004773F6"/>
    <w:rsid w:val="0048785F"/>
    <w:rsid w:val="004929A2"/>
    <w:rsid w:val="00494007"/>
    <w:rsid w:val="004B4627"/>
    <w:rsid w:val="004F6B44"/>
    <w:rsid w:val="005567E6"/>
    <w:rsid w:val="005A6A38"/>
    <w:rsid w:val="00684187"/>
    <w:rsid w:val="006A32C3"/>
    <w:rsid w:val="006A3F03"/>
    <w:rsid w:val="006D7311"/>
    <w:rsid w:val="007366F1"/>
    <w:rsid w:val="007740DA"/>
    <w:rsid w:val="00782FB7"/>
    <w:rsid w:val="00790236"/>
    <w:rsid w:val="007B0564"/>
    <w:rsid w:val="008124C4"/>
    <w:rsid w:val="00837084"/>
    <w:rsid w:val="008C5831"/>
    <w:rsid w:val="00922B79"/>
    <w:rsid w:val="009354B7"/>
    <w:rsid w:val="009C3E29"/>
    <w:rsid w:val="00A54E00"/>
    <w:rsid w:val="00A73A85"/>
    <w:rsid w:val="00B67F39"/>
    <w:rsid w:val="00BD4D8B"/>
    <w:rsid w:val="00C12B18"/>
    <w:rsid w:val="00C66B86"/>
    <w:rsid w:val="00D00341"/>
    <w:rsid w:val="00D41B90"/>
    <w:rsid w:val="00D46C6F"/>
    <w:rsid w:val="00DE6D12"/>
    <w:rsid w:val="00F03EEA"/>
    <w:rsid w:val="00F15E40"/>
    <w:rsid w:val="00F93F6B"/>
    <w:rsid w:val="00FB09E6"/>
    <w:rsid w:val="00FB4BBD"/>
    <w:rsid w:val="00FF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F436"/>
  <w15:chartTrackingRefBased/>
  <w15:docId w15:val="{741054FA-1837-4A0A-9BB3-B3290DFC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85"/>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73A85"/>
    <w:rPr>
      <w:rFonts w:cs="Times New Roman"/>
    </w:rPr>
  </w:style>
  <w:style w:type="paragraph" w:styleId="Header">
    <w:name w:val="header"/>
    <w:basedOn w:val="Normal"/>
    <w:link w:val="HeaderChar"/>
    <w:rsid w:val="00A73A85"/>
    <w:pPr>
      <w:tabs>
        <w:tab w:val="center" w:pos="4320"/>
        <w:tab w:val="right" w:pos="8640"/>
      </w:tabs>
    </w:pPr>
  </w:style>
  <w:style w:type="character" w:customStyle="1" w:styleId="HeaderChar">
    <w:name w:val="Header Char"/>
    <w:basedOn w:val="DefaultParagraphFont"/>
    <w:link w:val="Header"/>
    <w:rsid w:val="00A73A85"/>
    <w:rPr>
      <w:rFonts w:ascii="Times New Roman" w:eastAsia="Times New Roman" w:hAnsi="Times New Roman" w:cs="Times New Roman"/>
      <w:kern w:val="0"/>
      <w:sz w:val="24"/>
      <w:szCs w:val="20"/>
      <w14:ligatures w14:val="none"/>
    </w:rPr>
  </w:style>
  <w:style w:type="paragraph" w:styleId="Footer">
    <w:name w:val="footer"/>
    <w:basedOn w:val="Normal"/>
    <w:link w:val="FooterChar"/>
    <w:semiHidden/>
    <w:rsid w:val="00A73A85"/>
    <w:pPr>
      <w:tabs>
        <w:tab w:val="center" w:pos="4320"/>
        <w:tab w:val="right" w:pos="8640"/>
      </w:tabs>
    </w:pPr>
    <w:rPr>
      <w:rFonts w:ascii="Verdana" w:hAnsi="Verdana"/>
      <w:sz w:val="20"/>
    </w:rPr>
  </w:style>
  <w:style w:type="character" w:customStyle="1" w:styleId="FooterChar">
    <w:name w:val="Footer Char"/>
    <w:basedOn w:val="DefaultParagraphFont"/>
    <w:link w:val="Footer"/>
    <w:semiHidden/>
    <w:rsid w:val="00A73A85"/>
    <w:rPr>
      <w:rFonts w:ascii="Verdana" w:eastAsia="Times New Roman" w:hAnsi="Verdana" w:cs="Times New Roman"/>
      <w:kern w:val="0"/>
      <w:sz w:val="20"/>
      <w:szCs w:val="20"/>
      <w14:ligatures w14:val="none"/>
    </w:rPr>
  </w:style>
  <w:style w:type="paragraph" w:customStyle="1" w:styleId="01BSCCParagraphbodystyle">
    <w:name w:val="01BS CC Paragraph body style"/>
    <w:rsid w:val="00A73A85"/>
    <w:pPr>
      <w:suppressAutoHyphens/>
      <w:spacing w:after="240" w:line="240" w:lineRule="auto"/>
    </w:pPr>
    <w:rPr>
      <w:rFonts w:ascii="Verdana" w:eastAsia="Times New Roman" w:hAnsi="Verdana" w:cs="Times New Roman"/>
      <w:kern w:val="0"/>
      <w:szCs w:val="20"/>
      <w14:ligatures w14:val="none"/>
    </w:rPr>
  </w:style>
  <w:style w:type="table" w:styleId="TableGrid">
    <w:name w:val="Table Grid"/>
    <w:aliases w:val="Table no border"/>
    <w:basedOn w:val="TableNormal"/>
    <w:rsid w:val="00A73A8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3A85"/>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paragraph" w:styleId="ListParagraph">
    <w:name w:val="List Paragraph"/>
    <w:basedOn w:val="Normal"/>
    <w:uiPriority w:val="1"/>
    <w:qFormat/>
    <w:rsid w:val="00837084"/>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rsid w:val="00BD4D8B"/>
    <w:rPr>
      <w:color w:val="0000FF"/>
      <w:u w:val="single"/>
    </w:rPr>
  </w:style>
  <w:style w:type="paragraph" w:styleId="Revision">
    <w:name w:val="Revision"/>
    <w:hidden/>
    <w:uiPriority w:val="99"/>
    <w:semiHidden/>
    <w:rsid w:val="00256462"/>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99580">
      <w:bodyDiv w:val="1"/>
      <w:marLeft w:val="0"/>
      <w:marRight w:val="0"/>
      <w:marTop w:val="0"/>
      <w:marBottom w:val="0"/>
      <w:divBdr>
        <w:top w:val="none" w:sz="0" w:space="0" w:color="auto"/>
        <w:left w:val="none" w:sz="0" w:space="0" w:color="auto"/>
        <w:bottom w:val="none" w:sz="0" w:space="0" w:color="auto"/>
        <w:right w:val="none" w:sz="0" w:space="0" w:color="auto"/>
      </w:divBdr>
    </w:div>
    <w:div w:id="342588973">
      <w:bodyDiv w:val="1"/>
      <w:marLeft w:val="0"/>
      <w:marRight w:val="0"/>
      <w:marTop w:val="0"/>
      <w:marBottom w:val="0"/>
      <w:divBdr>
        <w:top w:val="none" w:sz="0" w:space="0" w:color="auto"/>
        <w:left w:val="none" w:sz="0" w:space="0" w:color="auto"/>
        <w:bottom w:val="none" w:sz="0" w:space="0" w:color="auto"/>
        <w:right w:val="none" w:sz="0" w:space="0" w:color="auto"/>
      </w:divBdr>
      <w:divsChild>
        <w:div w:id="693651656">
          <w:marLeft w:val="0"/>
          <w:marRight w:val="0"/>
          <w:marTop w:val="0"/>
          <w:marBottom w:val="0"/>
          <w:divBdr>
            <w:top w:val="none" w:sz="0" w:space="0" w:color="auto"/>
            <w:left w:val="none" w:sz="0" w:space="0" w:color="auto"/>
            <w:bottom w:val="none" w:sz="0" w:space="0" w:color="auto"/>
            <w:right w:val="none" w:sz="0" w:space="0" w:color="auto"/>
          </w:divBdr>
        </w:div>
        <w:div w:id="748886675">
          <w:marLeft w:val="0"/>
          <w:marRight w:val="0"/>
          <w:marTop w:val="0"/>
          <w:marBottom w:val="0"/>
          <w:divBdr>
            <w:top w:val="none" w:sz="0" w:space="0" w:color="auto"/>
            <w:left w:val="none" w:sz="0" w:space="0" w:color="auto"/>
            <w:bottom w:val="none" w:sz="0" w:space="0" w:color="auto"/>
            <w:right w:val="none" w:sz="0" w:space="0" w:color="auto"/>
          </w:divBdr>
        </w:div>
      </w:divsChild>
    </w:div>
    <w:div w:id="1617255524">
      <w:bodyDiv w:val="1"/>
      <w:marLeft w:val="0"/>
      <w:marRight w:val="0"/>
      <w:marTop w:val="0"/>
      <w:marBottom w:val="0"/>
      <w:divBdr>
        <w:top w:val="none" w:sz="0" w:space="0" w:color="auto"/>
        <w:left w:val="none" w:sz="0" w:space="0" w:color="auto"/>
        <w:bottom w:val="none" w:sz="0" w:space="0" w:color="auto"/>
        <w:right w:val="none" w:sz="0" w:space="0" w:color="auto"/>
      </w:divBdr>
      <w:divsChild>
        <w:div w:id="968320663">
          <w:marLeft w:val="0"/>
          <w:marRight w:val="0"/>
          <w:marTop w:val="0"/>
          <w:marBottom w:val="0"/>
          <w:divBdr>
            <w:top w:val="none" w:sz="0" w:space="0" w:color="auto"/>
            <w:left w:val="none" w:sz="0" w:space="0" w:color="auto"/>
            <w:bottom w:val="none" w:sz="0" w:space="0" w:color="auto"/>
            <w:right w:val="none" w:sz="0" w:space="0" w:color="auto"/>
          </w:divBdr>
        </w:div>
        <w:div w:id="1288047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uksi/1996/701/regulation/4/mad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fb175359-7011-456e-ac2e-5e2fcdd1524b" xsi:nil="true"/>
    <MigrationWizIdPermissionLevels xmlns="fb175359-7011-456e-ac2e-5e2fcdd1524b" xsi:nil="true"/>
    <MigrationWizIdDocumentLibraryPermissions xmlns="fb175359-7011-456e-ac2e-5e2fcdd1524b" xsi:nil="true"/>
    <lcf76f155ced4ddcb4097134ff3c332f xmlns="fb175359-7011-456e-ac2e-5e2fcdd1524b">
      <Terms xmlns="http://schemas.microsoft.com/office/infopath/2007/PartnerControls"/>
    </lcf76f155ced4ddcb4097134ff3c332f>
    <TaxCatchAll xmlns="dad8a1f1-c099-4510-badf-34ec2f91645f" xsi:nil="true"/>
    <MigrationWizIdPermissions xmlns="fb175359-7011-456e-ac2e-5e2fcdd1524b" xsi:nil="true"/>
    <MigrationWizIdSecurityGroups xmlns="fb175359-7011-456e-ac2e-5e2fcdd1524b" xsi:nil="true"/>
  </documentManagement>
</p:properties>
</file>

<file path=customXml/itemProps1.xml><?xml version="1.0" encoding="utf-8"?>
<ds:datastoreItem xmlns:ds="http://schemas.openxmlformats.org/officeDocument/2006/customXml" ds:itemID="{8936BB48-445B-4E2D-9569-8494652AEB0D}"/>
</file>

<file path=customXml/itemProps2.xml><?xml version="1.0" encoding="utf-8"?>
<ds:datastoreItem xmlns:ds="http://schemas.openxmlformats.org/officeDocument/2006/customXml" ds:itemID="{1F3D6D39-AFCD-4E5A-84FE-03698053A39B}"/>
</file>

<file path=customXml/itemProps3.xml><?xml version="1.0" encoding="utf-8"?>
<ds:datastoreItem xmlns:ds="http://schemas.openxmlformats.org/officeDocument/2006/customXml" ds:itemID="{D8678301-6D14-4B98-BE8A-02C0271317BF}"/>
</file>

<file path=docProps/app.xml><?xml version="1.0" encoding="utf-8"?>
<Properties xmlns="http://schemas.openxmlformats.org/officeDocument/2006/extended-properties" xmlns:vt="http://schemas.openxmlformats.org/officeDocument/2006/docPropsVTypes">
  <Template>Normal</Template>
  <TotalTime>13</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Kennally</dc:creator>
  <cp:keywords/>
  <dc:description/>
  <cp:lastModifiedBy>Chisnell, Julia</cp:lastModifiedBy>
  <cp:revision>6</cp:revision>
  <dcterms:created xsi:type="dcterms:W3CDTF">2025-05-19T12:47:00Z</dcterms:created>
  <dcterms:modified xsi:type="dcterms:W3CDTF">2025-05-19T18:16:00Z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2025-05-15T09:47:01Z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8f739a72-525d-4f74-bde2-6681462f5825</vt:lpwstr>
  </property>
  <property fmtid="{D5CDD505-2E9C-101B-9397-08002B2CF9AE}" pid="11" name="MSIP_Label_65bade86-969a-4cfc-8d70-99d1f0adeaba_ContentBits">
    <vt:lpwstr>1</vt:lpwstr>
  </property>
  <property fmtid="{D5CDD505-2E9C-101B-9397-08002B2CF9AE}" pid="12" name="ContentTypeId">
    <vt:lpwstr>0x01010022F5A192A34BC649A0F164BBBDBB795F</vt:lpwstr>
  </property>
</Properties>
</file>